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BC15C8" w14:paraId="1638E670" w14:textId="77777777" w:rsidTr="00951964">
        <w:trPr>
          <w:trHeight w:val="3770"/>
        </w:trPr>
        <w:tc>
          <w:tcPr>
            <w:tcW w:w="8891" w:type="dxa"/>
            <w:vAlign w:val="bottom"/>
          </w:tcPr>
          <w:p w14:paraId="5651ABCE" w14:textId="77777777" w:rsidR="00BC15C8" w:rsidRDefault="00BC15C8" w:rsidP="00CA34DF"/>
        </w:tc>
      </w:tr>
      <w:tr w:rsidR="00BC15C8" w14:paraId="66F3192A" w14:textId="77777777" w:rsidTr="00951964">
        <w:trPr>
          <w:trHeight w:val="3107"/>
        </w:trPr>
        <w:tc>
          <w:tcPr>
            <w:tcW w:w="8891" w:type="dxa"/>
            <w:vAlign w:val="bottom"/>
          </w:tcPr>
          <w:p w14:paraId="1FED200B" w14:textId="40972383" w:rsidR="00BC15C8" w:rsidRDefault="00574AA7" w:rsidP="00627E76">
            <w:pPr>
              <w:pStyle w:val="Title"/>
              <w:rPr>
                <w:rFonts w:hint="eastAsia"/>
              </w:rPr>
            </w:pPr>
            <w:r>
              <w:t xml:space="preserve">everyone deserves to be recognised </w:t>
            </w:r>
            <w:r w:rsidR="003C0636">
              <w:t>for who they are</w:t>
            </w:r>
          </w:p>
        </w:tc>
      </w:tr>
      <w:tr w:rsidR="00951964" w14:paraId="779428FB" w14:textId="77777777" w:rsidTr="00951964">
        <w:trPr>
          <w:trHeight w:val="3035"/>
        </w:trPr>
        <w:tc>
          <w:tcPr>
            <w:tcW w:w="8891" w:type="dxa"/>
          </w:tcPr>
          <w:p w14:paraId="4C9B2981" w14:textId="6B466665" w:rsidR="00951964" w:rsidRDefault="00782655" w:rsidP="00627E76">
            <w:pPr>
              <w:pStyle w:val="Subtitle"/>
            </w:pPr>
            <w:r>
              <w:t xml:space="preserve">SUBMISSION to the legal affairs and safety committee </w:t>
            </w:r>
            <w:r w:rsidR="00574AA7">
              <w:t xml:space="preserve">inquiry into the births, </w:t>
            </w:r>
            <w:proofErr w:type="gramStart"/>
            <w:r w:rsidR="00574AA7">
              <w:t>deaths</w:t>
            </w:r>
            <w:proofErr w:type="gramEnd"/>
            <w:r w:rsidR="00574AA7">
              <w:t xml:space="preserve"> and marriages registration bill 2022</w:t>
            </w:r>
            <w:r w:rsidR="009B7773">
              <w:t xml:space="preserve"> (Qld)</w:t>
            </w:r>
          </w:p>
        </w:tc>
      </w:tr>
    </w:tbl>
    <w:p w14:paraId="05FBEBD3" w14:textId="5B25840C" w:rsidR="005375D5" w:rsidRPr="00951964" w:rsidRDefault="005375D5" w:rsidP="00951964"/>
    <w:p w14:paraId="37777F4F" w14:textId="77777777" w:rsidR="008D531D" w:rsidRDefault="008D531D" w:rsidP="00CA34DF">
      <w:pPr>
        <w:sectPr w:rsidR="008D531D" w:rsidSect="00735275">
          <w:headerReference w:type="default" r:id="rId11"/>
          <w:footerReference w:type="default" r:id="rId12"/>
          <w:pgSz w:w="11907" w:h="16840" w:code="9"/>
          <w:pgMar w:top="1644" w:right="1021" w:bottom="1644" w:left="1985" w:header="709" w:footer="497" w:gutter="0"/>
          <w:cols w:space="708"/>
          <w:docGrid w:linePitch="360"/>
        </w:sectPr>
      </w:pPr>
    </w:p>
    <w:p w14:paraId="51833D42" w14:textId="51D0960C" w:rsidR="00BB79D2" w:rsidRDefault="00BB79D2" w:rsidP="00BB79D2">
      <w:pPr>
        <w:pStyle w:val="TOCHeading"/>
        <w:rPr>
          <w:rFonts w:hint="eastAsia"/>
        </w:rPr>
      </w:pPr>
      <w:r>
        <w:lastRenderedPageBreak/>
        <w:t>Contents</w:t>
      </w:r>
    </w:p>
    <w:p w14:paraId="08BD9EFB" w14:textId="2F8FE1D1" w:rsidR="00C13DBB" w:rsidRDefault="00BB79D2">
      <w:pPr>
        <w:pStyle w:val="TOC1"/>
        <w:rPr>
          <w:rFonts w:eastAsiaTheme="minorEastAsia" w:hint="eastAsia"/>
          <w:noProof/>
          <w:spacing w:val="0"/>
          <w:sz w:val="22"/>
          <w:lang w:eastAsia="en-AU"/>
        </w:rPr>
      </w:pPr>
      <w:r>
        <w:fldChar w:fldCharType="begin"/>
      </w:r>
      <w:r>
        <w:instrText xml:space="preserve"> TOC \o "1-2" \h \z \u </w:instrText>
      </w:r>
      <w:r>
        <w:fldChar w:fldCharType="separate"/>
      </w:r>
      <w:hyperlink w:anchor="_Toc124333209" w:history="1">
        <w:r w:rsidR="00C13DBB" w:rsidRPr="00A62613">
          <w:rPr>
            <w:rStyle w:val="Hyperlink"/>
            <w:noProof/>
          </w:rPr>
          <w:t>Executive summary</w:t>
        </w:r>
        <w:r w:rsidR="00C13DBB">
          <w:rPr>
            <w:noProof/>
            <w:webHidden/>
          </w:rPr>
          <w:tab/>
        </w:r>
        <w:r w:rsidR="00C13DBB">
          <w:rPr>
            <w:noProof/>
            <w:webHidden/>
          </w:rPr>
          <w:fldChar w:fldCharType="begin"/>
        </w:r>
        <w:r w:rsidR="00C13DBB">
          <w:rPr>
            <w:noProof/>
            <w:webHidden/>
          </w:rPr>
          <w:instrText xml:space="preserve"> PAGEREF _Toc124333209 \h </w:instrText>
        </w:r>
        <w:r w:rsidR="00C13DBB">
          <w:rPr>
            <w:noProof/>
            <w:webHidden/>
          </w:rPr>
        </w:r>
        <w:r w:rsidR="00C13DBB">
          <w:rPr>
            <w:noProof/>
            <w:webHidden/>
          </w:rPr>
          <w:fldChar w:fldCharType="separate"/>
        </w:r>
        <w:r w:rsidR="002F683D">
          <w:rPr>
            <w:noProof/>
            <w:webHidden/>
          </w:rPr>
          <w:t>2</w:t>
        </w:r>
        <w:r w:rsidR="00C13DBB">
          <w:rPr>
            <w:noProof/>
            <w:webHidden/>
          </w:rPr>
          <w:fldChar w:fldCharType="end"/>
        </w:r>
      </w:hyperlink>
    </w:p>
    <w:p w14:paraId="6D88AEDD" w14:textId="22E37EA8" w:rsidR="00C13DBB" w:rsidRDefault="00D746BE">
      <w:pPr>
        <w:pStyle w:val="TOC1"/>
        <w:rPr>
          <w:rFonts w:eastAsiaTheme="minorEastAsia" w:hint="eastAsia"/>
          <w:noProof/>
          <w:spacing w:val="0"/>
          <w:sz w:val="22"/>
          <w:lang w:eastAsia="en-AU"/>
        </w:rPr>
      </w:pPr>
      <w:hyperlink w:anchor="_Toc124333210" w:history="1">
        <w:r w:rsidR="00C13DBB" w:rsidRPr="00A62613">
          <w:rPr>
            <w:rStyle w:val="Hyperlink"/>
            <w:noProof/>
          </w:rPr>
          <w:t>Everyone deserves to be recognised for who they are</w:t>
        </w:r>
        <w:r w:rsidR="00C13DBB">
          <w:rPr>
            <w:noProof/>
            <w:webHidden/>
          </w:rPr>
          <w:tab/>
        </w:r>
        <w:r w:rsidR="00C13DBB">
          <w:rPr>
            <w:noProof/>
            <w:webHidden/>
          </w:rPr>
          <w:fldChar w:fldCharType="begin"/>
        </w:r>
        <w:r w:rsidR="00C13DBB">
          <w:rPr>
            <w:noProof/>
            <w:webHidden/>
          </w:rPr>
          <w:instrText xml:space="preserve"> PAGEREF _Toc124333210 \h </w:instrText>
        </w:r>
        <w:r w:rsidR="00C13DBB">
          <w:rPr>
            <w:noProof/>
            <w:webHidden/>
          </w:rPr>
        </w:r>
        <w:r w:rsidR="00C13DBB">
          <w:rPr>
            <w:noProof/>
            <w:webHidden/>
          </w:rPr>
          <w:fldChar w:fldCharType="separate"/>
        </w:r>
        <w:r w:rsidR="002F683D">
          <w:rPr>
            <w:noProof/>
            <w:webHidden/>
          </w:rPr>
          <w:t>4</w:t>
        </w:r>
        <w:r w:rsidR="00C13DBB">
          <w:rPr>
            <w:noProof/>
            <w:webHidden/>
          </w:rPr>
          <w:fldChar w:fldCharType="end"/>
        </w:r>
      </w:hyperlink>
    </w:p>
    <w:p w14:paraId="2FA95085" w14:textId="73AF44E9" w:rsidR="00C13DBB" w:rsidRDefault="00D746BE">
      <w:pPr>
        <w:pStyle w:val="TOC1"/>
        <w:tabs>
          <w:tab w:val="left" w:pos="440"/>
        </w:tabs>
        <w:rPr>
          <w:rFonts w:eastAsiaTheme="minorEastAsia" w:hint="eastAsia"/>
          <w:noProof/>
          <w:spacing w:val="0"/>
          <w:sz w:val="22"/>
          <w:lang w:eastAsia="en-AU"/>
        </w:rPr>
      </w:pPr>
      <w:hyperlink w:anchor="_Toc124333211" w:history="1">
        <w:r w:rsidR="00C13DBB" w:rsidRPr="00A62613">
          <w:rPr>
            <w:rStyle w:val="Hyperlink"/>
            <w:noProof/>
          </w:rPr>
          <w:t>1.</w:t>
        </w:r>
        <w:r w:rsidR="00C13DBB">
          <w:rPr>
            <w:rFonts w:eastAsiaTheme="minorEastAsia"/>
            <w:noProof/>
            <w:spacing w:val="0"/>
            <w:sz w:val="22"/>
            <w:lang w:eastAsia="en-AU"/>
          </w:rPr>
          <w:tab/>
        </w:r>
        <w:r w:rsidR="00C13DBB" w:rsidRPr="00A62613">
          <w:rPr>
            <w:rStyle w:val="Hyperlink"/>
            <w:noProof/>
          </w:rPr>
          <w:t>Promoting dignity and respect</w:t>
        </w:r>
        <w:r w:rsidR="00C13DBB">
          <w:rPr>
            <w:noProof/>
            <w:webHidden/>
          </w:rPr>
          <w:tab/>
        </w:r>
        <w:r w:rsidR="00C13DBB">
          <w:rPr>
            <w:noProof/>
            <w:webHidden/>
          </w:rPr>
          <w:fldChar w:fldCharType="begin"/>
        </w:r>
        <w:r w:rsidR="00C13DBB">
          <w:rPr>
            <w:noProof/>
            <w:webHidden/>
          </w:rPr>
          <w:instrText xml:space="preserve"> PAGEREF _Toc124333211 \h </w:instrText>
        </w:r>
        <w:r w:rsidR="00C13DBB">
          <w:rPr>
            <w:noProof/>
            <w:webHidden/>
          </w:rPr>
        </w:r>
        <w:r w:rsidR="00C13DBB">
          <w:rPr>
            <w:noProof/>
            <w:webHidden/>
          </w:rPr>
          <w:fldChar w:fldCharType="separate"/>
        </w:r>
        <w:r w:rsidR="002F683D">
          <w:rPr>
            <w:noProof/>
            <w:webHidden/>
          </w:rPr>
          <w:t>4</w:t>
        </w:r>
        <w:r w:rsidR="00C13DBB">
          <w:rPr>
            <w:noProof/>
            <w:webHidden/>
          </w:rPr>
          <w:fldChar w:fldCharType="end"/>
        </w:r>
      </w:hyperlink>
    </w:p>
    <w:p w14:paraId="0D82B817" w14:textId="0C8F4EB0" w:rsidR="00C13DBB" w:rsidRDefault="00D746BE">
      <w:pPr>
        <w:pStyle w:val="TOC1"/>
        <w:tabs>
          <w:tab w:val="left" w:pos="440"/>
        </w:tabs>
        <w:rPr>
          <w:rFonts w:eastAsiaTheme="minorEastAsia" w:hint="eastAsia"/>
          <w:noProof/>
          <w:spacing w:val="0"/>
          <w:sz w:val="22"/>
          <w:lang w:eastAsia="en-AU"/>
        </w:rPr>
      </w:pPr>
      <w:hyperlink w:anchor="_Toc124333212" w:history="1">
        <w:r w:rsidR="00C13DBB" w:rsidRPr="00A62613">
          <w:rPr>
            <w:rStyle w:val="Hyperlink"/>
            <w:noProof/>
          </w:rPr>
          <w:t>2.</w:t>
        </w:r>
        <w:r w:rsidR="00C13DBB">
          <w:rPr>
            <w:rFonts w:eastAsiaTheme="minorEastAsia"/>
            <w:noProof/>
            <w:spacing w:val="0"/>
            <w:sz w:val="22"/>
            <w:lang w:eastAsia="en-AU"/>
          </w:rPr>
          <w:tab/>
        </w:r>
        <w:r w:rsidR="00C13DBB" w:rsidRPr="00A62613">
          <w:rPr>
            <w:rStyle w:val="Hyperlink"/>
            <w:noProof/>
          </w:rPr>
          <w:t>Removing existing barriers</w:t>
        </w:r>
        <w:r w:rsidR="00C13DBB">
          <w:rPr>
            <w:noProof/>
            <w:webHidden/>
          </w:rPr>
          <w:tab/>
        </w:r>
        <w:r w:rsidR="00C13DBB">
          <w:rPr>
            <w:noProof/>
            <w:webHidden/>
          </w:rPr>
          <w:fldChar w:fldCharType="begin"/>
        </w:r>
        <w:r w:rsidR="00C13DBB">
          <w:rPr>
            <w:noProof/>
            <w:webHidden/>
          </w:rPr>
          <w:instrText xml:space="preserve"> PAGEREF _Toc124333212 \h </w:instrText>
        </w:r>
        <w:r w:rsidR="00C13DBB">
          <w:rPr>
            <w:noProof/>
            <w:webHidden/>
          </w:rPr>
        </w:r>
        <w:r w:rsidR="00C13DBB">
          <w:rPr>
            <w:noProof/>
            <w:webHidden/>
          </w:rPr>
          <w:fldChar w:fldCharType="separate"/>
        </w:r>
        <w:r w:rsidR="002F683D">
          <w:rPr>
            <w:noProof/>
            <w:webHidden/>
          </w:rPr>
          <w:t>5</w:t>
        </w:r>
        <w:r w:rsidR="00C13DBB">
          <w:rPr>
            <w:noProof/>
            <w:webHidden/>
          </w:rPr>
          <w:fldChar w:fldCharType="end"/>
        </w:r>
      </w:hyperlink>
    </w:p>
    <w:p w14:paraId="6ADCFF8D" w14:textId="216E6B58" w:rsidR="00C13DBB" w:rsidRDefault="00D746BE">
      <w:pPr>
        <w:pStyle w:val="TOC1"/>
        <w:tabs>
          <w:tab w:val="left" w:pos="440"/>
        </w:tabs>
        <w:rPr>
          <w:rFonts w:eastAsiaTheme="minorEastAsia" w:hint="eastAsia"/>
          <w:noProof/>
          <w:spacing w:val="0"/>
          <w:sz w:val="22"/>
          <w:lang w:eastAsia="en-AU"/>
        </w:rPr>
      </w:pPr>
      <w:hyperlink w:anchor="_Toc124333213" w:history="1">
        <w:r w:rsidR="00C13DBB" w:rsidRPr="00A62613">
          <w:rPr>
            <w:rStyle w:val="Hyperlink"/>
            <w:noProof/>
          </w:rPr>
          <w:t>3.</w:t>
        </w:r>
        <w:r w:rsidR="00C13DBB">
          <w:rPr>
            <w:rFonts w:eastAsiaTheme="minorEastAsia"/>
            <w:noProof/>
            <w:spacing w:val="0"/>
            <w:sz w:val="22"/>
            <w:lang w:eastAsia="en-AU"/>
          </w:rPr>
          <w:tab/>
        </w:r>
        <w:r w:rsidR="00C13DBB" w:rsidRPr="00A62613">
          <w:rPr>
            <w:rStyle w:val="Hyperlink"/>
            <w:noProof/>
          </w:rPr>
          <w:t>Bringing Queensland into line with other jurisdictions</w:t>
        </w:r>
        <w:r w:rsidR="00C13DBB">
          <w:rPr>
            <w:noProof/>
            <w:webHidden/>
          </w:rPr>
          <w:tab/>
        </w:r>
        <w:r w:rsidR="00C13DBB">
          <w:rPr>
            <w:noProof/>
            <w:webHidden/>
          </w:rPr>
          <w:fldChar w:fldCharType="begin"/>
        </w:r>
        <w:r w:rsidR="00C13DBB">
          <w:rPr>
            <w:noProof/>
            <w:webHidden/>
          </w:rPr>
          <w:instrText xml:space="preserve"> PAGEREF _Toc124333213 \h </w:instrText>
        </w:r>
        <w:r w:rsidR="00C13DBB">
          <w:rPr>
            <w:noProof/>
            <w:webHidden/>
          </w:rPr>
        </w:r>
        <w:r w:rsidR="00C13DBB">
          <w:rPr>
            <w:noProof/>
            <w:webHidden/>
          </w:rPr>
          <w:fldChar w:fldCharType="separate"/>
        </w:r>
        <w:r w:rsidR="002F683D">
          <w:rPr>
            <w:noProof/>
            <w:webHidden/>
          </w:rPr>
          <w:t>6</w:t>
        </w:r>
        <w:r w:rsidR="00C13DBB">
          <w:rPr>
            <w:noProof/>
            <w:webHidden/>
          </w:rPr>
          <w:fldChar w:fldCharType="end"/>
        </w:r>
      </w:hyperlink>
    </w:p>
    <w:p w14:paraId="3B44C314" w14:textId="67C2803C" w:rsidR="00C13DBB" w:rsidRDefault="00D746BE">
      <w:pPr>
        <w:pStyle w:val="TOC1"/>
        <w:rPr>
          <w:rFonts w:eastAsiaTheme="minorEastAsia" w:hint="eastAsia"/>
          <w:noProof/>
          <w:spacing w:val="0"/>
          <w:sz w:val="22"/>
          <w:lang w:eastAsia="en-AU"/>
        </w:rPr>
      </w:pPr>
      <w:hyperlink w:anchor="_Toc124333214" w:history="1">
        <w:r w:rsidR="00C13DBB" w:rsidRPr="00A62613">
          <w:rPr>
            <w:rStyle w:val="Hyperlink"/>
            <w:noProof/>
          </w:rPr>
          <w:t>Further areas for consideration</w:t>
        </w:r>
        <w:r w:rsidR="00C13DBB">
          <w:rPr>
            <w:noProof/>
            <w:webHidden/>
          </w:rPr>
          <w:tab/>
        </w:r>
        <w:r w:rsidR="00C13DBB">
          <w:rPr>
            <w:noProof/>
            <w:webHidden/>
          </w:rPr>
          <w:fldChar w:fldCharType="begin"/>
        </w:r>
        <w:r w:rsidR="00C13DBB">
          <w:rPr>
            <w:noProof/>
            <w:webHidden/>
          </w:rPr>
          <w:instrText xml:space="preserve"> PAGEREF _Toc124333214 \h </w:instrText>
        </w:r>
        <w:r w:rsidR="00C13DBB">
          <w:rPr>
            <w:noProof/>
            <w:webHidden/>
          </w:rPr>
        </w:r>
        <w:r w:rsidR="00C13DBB">
          <w:rPr>
            <w:noProof/>
            <w:webHidden/>
          </w:rPr>
          <w:fldChar w:fldCharType="separate"/>
        </w:r>
        <w:r w:rsidR="002F683D">
          <w:rPr>
            <w:noProof/>
            <w:webHidden/>
          </w:rPr>
          <w:t>8</w:t>
        </w:r>
        <w:r w:rsidR="00C13DBB">
          <w:rPr>
            <w:noProof/>
            <w:webHidden/>
          </w:rPr>
          <w:fldChar w:fldCharType="end"/>
        </w:r>
      </w:hyperlink>
    </w:p>
    <w:p w14:paraId="57FC9DAC" w14:textId="443FAB54" w:rsidR="00C13DBB" w:rsidRDefault="00D746BE">
      <w:pPr>
        <w:pStyle w:val="TOC1"/>
        <w:tabs>
          <w:tab w:val="left" w:pos="440"/>
        </w:tabs>
        <w:rPr>
          <w:rFonts w:eastAsiaTheme="minorEastAsia" w:hint="eastAsia"/>
          <w:noProof/>
          <w:spacing w:val="0"/>
          <w:sz w:val="22"/>
          <w:lang w:eastAsia="en-AU"/>
        </w:rPr>
      </w:pPr>
      <w:hyperlink w:anchor="_Toc124333215" w:history="1">
        <w:r w:rsidR="00C13DBB" w:rsidRPr="00A62613">
          <w:rPr>
            <w:rStyle w:val="Hyperlink"/>
            <w:noProof/>
          </w:rPr>
          <w:t>4.</w:t>
        </w:r>
        <w:r w:rsidR="00C13DBB">
          <w:rPr>
            <w:rFonts w:eastAsiaTheme="minorEastAsia"/>
            <w:noProof/>
            <w:spacing w:val="0"/>
            <w:sz w:val="22"/>
            <w:lang w:eastAsia="en-AU"/>
          </w:rPr>
          <w:tab/>
        </w:r>
        <w:r w:rsidR="00C13DBB" w:rsidRPr="00A62613">
          <w:rPr>
            <w:rStyle w:val="Hyperlink"/>
            <w:noProof/>
          </w:rPr>
          <w:t>Application fees</w:t>
        </w:r>
        <w:r w:rsidR="00C13DBB">
          <w:rPr>
            <w:noProof/>
            <w:webHidden/>
          </w:rPr>
          <w:tab/>
        </w:r>
        <w:r w:rsidR="00C13DBB">
          <w:rPr>
            <w:noProof/>
            <w:webHidden/>
          </w:rPr>
          <w:fldChar w:fldCharType="begin"/>
        </w:r>
        <w:r w:rsidR="00C13DBB">
          <w:rPr>
            <w:noProof/>
            <w:webHidden/>
          </w:rPr>
          <w:instrText xml:space="preserve"> PAGEREF _Toc124333215 \h </w:instrText>
        </w:r>
        <w:r w:rsidR="00C13DBB">
          <w:rPr>
            <w:noProof/>
            <w:webHidden/>
          </w:rPr>
        </w:r>
        <w:r w:rsidR="00C13DBB">
          <w:rPr>
            <w:noProof/>
            <w:webHidden/>
          </w:rPr>
          <w:fldChar w:fldCharType="separate"/>
        </w:r>
        <w:r w:rsidR="002F683D">
          <w:rPr>
            <w:noProof/>
            <w:webHidden/>
          </w:rPr>
          <w:t>8</w:t>
        </w:r>
        <w:r w:rsidR="00C13DBB">
          <w:rPr>
            <w:noProof/>
            <w:webHidden/>
          </w:rPr>
          <w:fldChar w:fldCharType="end"/>
        </w:r>
      </w:hyperlink>
    </w:p>
    <w:p w14:paraId="1139AD4C" w14:textId="680612C7" w:rsidR="00C13DBB" w:rsidRDefault="00D746BE">
      <w:pPr>
        <w:pStyle w:val="TOC1"/>
        <w:tabs>
          <w:tab w:val="left" w:pos="440"/>
        </w:tabs>
        <w:rPr>
          <w:rFonts w:eastAsiaTheme="minorEastAsia" w:hint="eastAsia"/>
          <w:noProof/>
          <w:spacing w:val="0"/>
          <w:sz w:val="22"/>
          <w:lang w:eastAsia="en-AU"/>
        </w:rPr>
      </w:pPr>
      <w:hyperlink w:anchor="_Toc124333216" w:history="1">
        <w:r w:rsidR="00C13DBB" w:rsidRPr="00A62613">
          <w:rPr>
            <w:rStyle w:val="Hyperlink"/>
            <w:noProof/>
          </w:rPr>
          <w:t>5.</w:t>
        </w:r>
        <w:r w:rsidR="00C13DBB">
          <w:rPr>
            <w:rFonts w:eastAsiaTheme="minorEastAsia"/>
            <w:noProof/>
            <w:spacing w:val="0"/>
            <w:sz w:val="22"/>
            <w:lang w:eastAsia="en-AU"/>
          </w:rPr>
          <w:tab/>
        </w:r>
        <w:r w:rsidR="00C13DBB" w:rsidRPr="00A62613">
          <w:rPr>
            <w:rStyle w:val="Hyperlink"/>
            <w:noProof/>
          </w:rPr>
          <w:t>Ensure access to support for young people and their families</w:t>
        </w:r>
        <w:r w:rsidR="00C13DBB">
          <w:rPr>
            <w:noProof/>
            <w:webHidden/>
          </w:rPr>
          <w:tab/>
        </w:r>
        <w:r w:rsidR="00C13DBB">
          <w:rPr>
            <w:noProof/>
            <w:webHidden/>
          </w:rPr>
          <w:fldChar w:fldCharType="begin"/>
        </w:r>
        <w:r w:rsidR="00C13DBB">
          <w:rPr>
            <w:noProof/>
            <w:webHidden/>
          </w:rPr>
          <w:instrText xml:space="preserve"> PAGEREF _Toc124333216 \h </w:instrText>
        </w:r>
        <w:r w:rsidR="00C13DBB">
          <w:rPr>
            <w:noProof/>
            <w:webHidden/>
          </w:rPr>
        </w:r>
        <w:r w:rsidR="00C13DBB">
          <w:rPr>
            <w:noProof/>
            <w:webHidden/>
          </w:rPr>
          <w:fldChar w:fldCharType="separate"/>
        </w:r>
        <w:r w:rsidR="002F683D">
          <w:rPr>
            <w:noProof/>
            <w:webHidden/>
          </w:rPr>
          <w:t>8</w:t>
        </w:r>
        <w:r w:rsidR="00C13DBB">
          <w:rPr>
            <w:noProof/>
            <w:webHidden/>
          </w:rPr>
          <w:fldChar w:fldCharType="end"/>
        </w:r>
      </w:hyperlink>
    </w:p>
    <w:p w14:paraId="6CB9FFF8" w14:textId="6886E139" w:rsidR="00C13DBB" w:rsidRDefault="00D746BE">
      <w:pPr>
        <w:pStyle w:val="TOC1"/>
        <w:tabs>
          <w:tab w:val="left" w:pos="440"/>
        </w:tabs>
        <w:rPr>
          <w:rFonts w:eastAsiaTheme="minorEastAsia" w:hint="eastAsia"/>
          <w:noProof/>
          <w:spacing w:val="0"/>
          <w:sz w:val="22"/>
          <w:lang w:eastAsia="en-AU"/>
        </w:rPr>
      </w:pPr>
      <w:hyperlink w:anchor="_Toc124333217" w:history="1">
        <w:r w:rsidR="00C13DBB" w:rsidRPr="00A62613">
          <w:rPr>
            <w:rStyle w:val="Hyperlink"/>
            <w:noProof/>
          </w:rPr>
          <w:t>6.</w:t>
        </w:r>
        <w:r w:rsidR="00C13DBB">
          <w:rPr>
            <w:rFonts w:eastAsiaTheme="minorEastAsia"/>
            <w:noProof/>
            <w:spacing w:val="0"/>
            <w:sz w:val="22"/>
            <w:lang w:eastAsia="en-AU"/>
          </w:rPr>
          <w:tab/>
        </w:r>
        <w:r w:rsidR="00C13DBB" w:rsidRPr="00A62613">
          <w:rPr>
            <w:rStyle w:val="Hyperlink"/>
            <w:noProof/>
          </w:rPr>
          <w:t>Equal recognition and treatment in other Queensland laws</w:t>
        </w:r>
        <w:r w:rsidR="00C13DBB">
          <w:rPr>
            <w:noProof/>
            <w:webHidden/>
          </w:rPr>
          <w:tab/>
        </w:r>
        <w:r w:rsidR="00C13DBB">
          <w:rPr>
            <w:noProof/>
            <w:webHidden/>
          </w:rPr>
          <w:fldChar w:fldCharType="begin"/>
        </w:r>
        <w:r w:rsidR="00C13DBB">
          <w:rPr>
            <w:noProof/>
            <w:webHidden/>
          </w:rPr>
          <w:instrText xml:space="preserve"> PAGEREF _Toc124333217 \h </w:instrText>
        </w:r>
        <w:r w:rsidR="00C13DBB">
          <w:rPr>
            <w:noProof/>
            <w:webHidden/>
          </w:rPr>
        </w:r>
        <w:r w:rsidR="00C13DBB">
          <w:rPr>
            <w:noProof/>
            <w:webHidden/>
          </w:rPr>
          <w:fldChar w:fldCharType="separate"/>
        </w:r>
        <w:r w:rsidR="002F683D">
          <w:rPr>
            <w:noProof/>
            <w:webHidden/>
          </w:rPr>
          <w:t>9</w:t>
        </w:r>
        <w:r w:rsidR="00C13DBB">
          <w:rPr>
            <w:noProof/>
            <w:webHidden/>
          </w:rPr>
          <w:fldChar w:fldCharType="end"/>
        </w:r>
      </w:hyperlink>
    </w:p>
    <w:p w14:paraId="369DB23F" w14:textId="2823D719" w:rsidR="00C13DBB" w:rsidRDefault="00D746BE">
      <w:pPr>
        <w:pStyle w:val="TOC1"/>
        <w:tabs>
          <w:tab w:val="left" w:pos="440"/>
        </w:tabs>
        <w:rPr>
          <w:rFonts w:eastAsiaTheme="minorEastAsia" w:hint="eastAsia"/>
          <w:noProof/>
          <w:spacing w:val="0"/>
          <w:sz w:val="22"/>
          <w:lang w:eastAsia="en-AU"/>
        </w:rPr>
      </w:pPr>
      <w:hyperlink w:anchor="_Toc124333218" w:history="1">
        <w:r w:rsidR="00C13DBB" w:rsidRPr="00A62613">
          <w:rPr>
            <w:rStyle w:val="Hyperlink"/>
            <w:noProof/>
          </w:rPr>
          <w:t>7.</w:t>
        </w:r>
        <w:r w:rsidR="00C13DBB">
          <w:rPr>
            <w:rFonts w:eastAsiaTheme="minorEastAsia"/>
            <w:noProof/>
            <w:spacing w:val="0"/>
            <w:sz w:val="22"/>
            <w:lang w:eastAsia="en-AU"/>
          </w:rPr>
          <w:tab/>
        </w:r>
        <w:r w:rsidR="00C13DBB" w:rsidRPr="00A62613">
          <w:rPr>
            <w:rStyle w:val="Hyperlink"/>
            <w:noProof/>
          </w:rPr>
          <w:t>People in custody</w:t>
        </w:r>
        <w:r w:rsidR="00C13DBB">
          <w:rPr>
            <w:noProof/>
            <w:webHidden/>
          </w:rPr>
          <w:tab/>
        </w:r>
        <w:r w:rsidR="00C13DBB">
          <w:rPr>
            <w:noProof/>
            <w:webHidden/>
          </w:rPr>
          <w:fldChar w:fldCharType="begin"/>
        </w:r>
        <w:r w:rsidR="00C13DBB">
          <w:rPr>
            <w:noProof/>
            <w:webHidden/>
          </w:rPr>
          <w:instrText xml:space="preserve"> PAGEREF _Toc124333218 \h </w:instrText>
        </w:r>
        <w:r w:rsidR="00C13DBB">
          <w:rPr>
            <w:noProof/>
            <w:webHidden/>
          </w:rPr>
        </w:r>
        <w:r w:rsidR="00C13DBB">
          <w:rPr>
            <w:noProof/>
            <w:webHidden/>
          </w:rPr>
          <w:fldChar w:fldCharType="separate"/>
        </w:r>
        <w:r w:rsidR="002F683D">
          <w:rPr>
            <w:noProof/>
            <w:webHidden/>
          </w:rPr>
          <w:t>10</w:t>
        </w:r>
        <w:r w:rsidR="00C13DBB">
          <w:rPr>
            <w:noProof/>
            <w:webHidden/>
          </w:rPr>
          <w:fldChar w:fldCharType="end"/>
        </w:r>
      </w:hyperlink>
    </w:p>
    <w:p w14:paraId="5ACBFD1E" w14:textId="4470726A" w:rsidR="00C13DBB" w:rsidRDefault="00D746BE">
      <w:pPr>
        <w:pStyle w:val="TOC1"/>
        <w:tabs>
          <w:tab w:val="left" w:pos="440"/>
        </w:tabs>
        <w:rPr>
          <w:rFonts w:eastAsiaTheme="minorEastAsia" w:hint="eastAsia"/>
          <w:noProof/>
          <w:spacing w:val="0"/>
          <w:sz w:val="22"/>
          <w:lang w:eastAsia="en-AU"/>
        </w:rPr>
      </w:pPr>
      <w:hyperlink w:anchor="_Toc124333219" w:history="1">
        <w:r w:rsidR="00C13DBB" w:rsidRPr="00A62613">
          <w:rPr>
            <w:rStyle w:val="Hyperlink"/>
            <w:rFonts w:ascii="Overpass Light" w:hAnsi="Overpass Light"/>
            <w:noProof/>
          </w:rPr>
          <w:t>8.</w:t>
        </w:r>
        <w:r w:rsidR="00C13DBB">
          <w:rPr>
            <w:rFonts w:eastAsiaTheme="minorEastAsia"/>
            <w:noProof/>
            <w:spacing w:val="0"/>
            <w:sz w:val="22"/>
            <w:lang w:eastAsia="en-AU"/>
          </w:rPr>
          <w:tab/>
        </w:r>
        <w:r w:rsidR="00C13DBB" w:rsidRPr="00A62613">
          <w:rPr>
            <w:rStyle w:val="Hyperlink"/>
            <w:rFonts w:ascii="Overpass Light" w:hAnsi="Overpass Light"/>
            <w:noProof/>
            <w:shd w:val="clear" w:color="auto" w:fill="FFFFFF"/>
          </w:rPr>
          <w:t>Amendments to the Anti-Discrimination Act</w:t>
        </w:r>
        <w:r w:rsidR="00C13DBB">
          <w:rPr>
            <w:noProof/>
            <w:webHidden/>
          </w:rPr>
          <w:tab/>
        </w:r>
        <w:r w:rsidR="00C13DBB">
          <w:rPr>
            <w:noProof/>
            <w:webHidden/>
          </w:rPr>
          <w:fldChar w:fldCharType="begin"/>
        </w:r>
        <w:r w:rsidR="00C13DBB">
          <w:rPr>
            <w:noProof/>
            <w:webHidden/>
          </w:rPr>
          <w:instrText xml:space="preserve"> PAGEREF _Toc124333219 \h </w:instrText>
        </w:r>
        <w:r w:rsidR="00C13DBB">
          <w:rPr>
            <w:noProof/>
            <w:webHidden/>
          </w:rPr>
        </w:r>
        <w:r w:rsidR="00C13DBB">
          <w:rPr>
            <w:noProof/>
            <w:webHidden/>
          </w:rPr>
          <w:fldChar w:fldCharType="separate"/>
        </w:r>
        <w:r w:rsidR="002F683D">
          <w:rPr>
            <w:noProof/>
            <w:webHidden/>
          </w:rPr>
          <w:t>11</w:t>
        </w:r>
        <w:r w:rsidR="00C13DBB">
          <w:rPr>
            <w:noProof/>
            <w:webHidden/>
          </w:rPr>
          <w:fldChar w:fldCharType="end"/>
        </w:r>
      </w:hyperlink>
    </w:p>
    <w:p w14:paraId="5EBA46C2" w14:textId="05EED822" w:rsidR="00C13DBB" w:rsidRDefault="00D746BE">
      <w:pPr>
        <w:pStyle w:val="TOC1"/>
        <w:tabs>
          <w:tab w:val="left" w:pos="440"/>
        </w:tabs>
        <w:rPr>
          <w:rFonts w:eastAsiaTheme="minorEastAsia" w:hint="eastAsia"/>
          <w:noProof/>
          <w:spacing w:val="0"/>
          <w:sz w:val="22"/>
          <w:lang w:eastAsia="en-AU"/>
        </w:rPr>
      </w:pPr>
      <w:hyperlink w:anchor="_Toc124333220" w:history="1">
        <w:r w:rsidR="00C13DBB" w:rsidRPr="00A62613">
          <w:rPr>
            <w:rStyle w:val="Hyperlink"/>
            <w:noProof/>
          </w:rPr>
          <w:t>9.</w:t>
        </w:r>
        <w:r w:rsidR="00C13DBB">
          <w:rPr>
            <w:rFonts w:eastAsiaTheme="minorEastAsia"/>
            <w:noProof/>
            <w:spacing w:val="0"/>
            <w:sz w:val="22"/>
            <w:lang w:eastAsia="en-AU"/>
          </w:rPr>
          <w:tab/>
        </w:r>
        <w:r w:rsidR="00C13DBB" w:rsidRPr="00A62613">
          <w:rPr>
            <w:rStyle w:val="Hyperlink"/>
            <w:noProof/>
          </w:rPr>
          <w:t>The need for further intersex reform</w:t>
        </w:r>
        <w:r w:rsidR="00C13DBB">
          <w:rPr>
            <w:noProof/>
            <w:webHidden/>
          </w:rPr>
          <w:tab/>
        </w:r>
        <w:r w:rsidR="00C13DBB">
          <w:rPr>
            <w:noProof/>
            <w:webHidden/>
          </w:rPr>
          <w:fldChar w:fldCharType="begin"/>
        </w:r>
        <w:r w:rsidR="00C13DBB">
          <w:rPr>
            <w:noProof/>
            <w:webHidden/>
          </w:rPr>
          <w:instrText xml:space="preserve"> PAGEREF _Toc124333220 \h </w:instrText>
        </w:r>
        <w:r w:rsidR="00C13DBB">
          <w:rPr>
            <w:noProof/>
            <w:webHidden/>
          </w:rPr>
        </w:r>
        <w:r w:rsidR="00C13DBB">
          <w:rPr>
            <w:noProof/>
            <w:webHidden/>
          </w:rPr>
          <w:fldChar w:fldCharType="separate"/>
        </w:r>
        <w:r w:rsidR="002F683D">
          <w:rPr>
            <w:noProof/>
            <w:webHidden/>
          </w:rPr>
          <w:t>11</w:t>
        </w:r>
        <w:r w:rsidR="00C13DBB">
          <w:rPr>
            <w:noProof/>
            <w:webHidden/>
          </w:rPr>
          <w:fldChar w:fldCharType="end"/>
        </w:r>
      </w:hyperlink>
    </w:p>
    <w:p w14:paraId="4A19386E" w14:textId="2B3958AB" w:rsidR="00BB79D2" w:rsidRPr="00BB79D2" w:rsidRDefault="00BB79D2" w:rsidP="00BB79D2">
      <w:r>
        <w:fldChar w:fldCharType="end"/>
      </w:r>
    </w:p>
    <w:p w14:paraId="45A7AA0E" w14:textId="77777777" w:rsidR="00BB79D2" w:rsidRPr="00BB79D2" w:rsidRDefault="00BB79D2" w:rsidP="00BB79D2"/>
    <w:p w14:paraId="260F269F" w14:textId="77777777" w:rsidR="00A631D6" w:rsidRDefault="00A631D6" w:rsidP="00A631D6">
      <w:pPr>
        <w:pStyle w:val="Heading3"/>
        <w:rPr>
          <w:rFonts w:hint="eastAsia"/>
        </w:rPr>
      </w:pPr>
      <w:r>
        <w:t>ABout equality australia</w:t>
      </w:r>
    </w:p>
    <w:p w14:paraId="2E4970BD" w14:textId="77777777" w:rsidR="00A631D6" w:rsidRDefault="00A631D6" w:rsidP="00A631D6">
      <w:r>
        <w:t>Equality Australia is a national LGBTIQ+ organisation dedicated to achieving equality for LGBTIQ+ people.</w:t>
      </w:r>
    </w:p>
    <w:p w14:paraId="5276C75E" w14:textId="3E562DA0" w:rsidR="00A631D6" w:rsidRDefault="00A631D6" w:rsidP="00A631D6">
      <w:r>
        <w:t>Born out of the successful campaign for marriage equality and established with support from the Human Rights Law Centre, Equality Australia brings together legal, policy and communications expertise, along with thousands of supporters, to address discrimination, disadvantage and distress experienced by LGBTIQ+ people.</w:t>
      </w:r>
    </w:p>
    <w:p w14:paraId="31CB50A5" w14:textId="77777777" w:rsidR="00A631D6" w:rsidRDefault="00A631D6" w:rsidP="00A631D6">
      <w:r w:rsidRPr="00803735">
        <w:rPr>
          <w:b/>
          <w:bCs/>
        </w:rPr>
        <w:t>Sydney office:</w:t>
      </w:r>
      <w:r>
        <w:t xml:space="preserve"> 414 Elizabeth Street Surry Hills NSW 2010 </w:t>
      </w:r>
      <w:r>
        <w:br/>
      </w:r>
      <w:r w:rsidRPr="00803735">
        <w:rPr>
          <w:b/>
          <w:bCs/>
        </w:rPr>
        <w:t>Melbourne office:</w:t>
      </w:r>
      <w:r>
        <w:t xml:space="preserve"> Victorian Pride Centre, 79-81 Fitzroy Street St Kilda VIC 3182</w:t>
      </w:r>
    </w:p>
    <w:p w14:paraId="5FE18835" w14:textId="77777777" w:rsidR="00A631D6" w:rsidRDefault="00A631D6" w:rsidP="00A631D6">
      <w:r>
        <w:t xml:space="preserve">Telephone: +61 03 9999 4527 </w:t>
      </w:r>
    </w:p>
    <w:p w14:paraId="6A3330EB" w14:textId="77777777" w:rsidR="00A631D6" w:rsidRDefault="00A631D6" w:rsidP="00A631D6">
      <w:r>
        <w:t>Email: info@equalityaustralia.org.au</w:t>
      </w:r>
    </w:p>
    <w:p w14:paraId="48E89524" w14:textId="77777777" w:rsidR="00A631D6" w:rsidRDefault="00A631D6" w:rsidP="00A631D6">
      <w:r>
        <w:t>www.equalityaustralia.org.au</w:t>
      </w:r>
    </w:p>
    <w:p w14:paraId="1DAE63E4" w14:textId="77777777" w:rsidR="00A631D6" w:rsidRDefault="00A631D6" w:rsidP="00A631D6">
      <w:r>
        <w:t xml:space="preserve">We acknowledge that our offices are on the land of the Kulin Nation and the land of the Eora </w:t>
      </w:r>
      <w:proofErr w:type="gramStart"/>
      <w:r>
        <w:t>Nation</w:t>
      </w:r>
      <w:proofErr w:type="gramEnd"/>
      <w:r>
        <w:t xml:space="preserve"> and we pay our respects to their traditional owners.</w:t>
      </w:r>
    </w:p>
    <w:p w14:paraId="0FAC8852" w14:textId="675E41CC" w:rsidR="00A631D6" w:rsidRPr="00A631D6" w:rsidRDefault="00A631D6" w:rsidP="00A631D6">
      <w:pPr>
        <w:sectPr w:rsidR="00A631D6" w:rsidRPr="00A631D6" w:rsidSect="00735275">
          <w:headerReference w:type="default" r:id="rId13"/>
          <w:footerReference w:type="default" r:id="rId14"/>
          <w:pgSz w:w="11907" w:h="16840" w:code="9"/>
          <w:pgMar w:top="1644" w:right="1021" w:bottom="1644" w:left="1985" w:header="709" w:footer="244" w:gutter="0"/>
          <w:pgNumType w:start="1"/>
          <w:cols w:space="708"/>
          <w:docGrid w:linePitch="360"/>
        </w:sectPr>
      </w:pPr>
    </w:p>
    <w:p w14:paraId="08E1C14F" w14:textId="0C17974E" w:rsidR="00CA34DF" w:rsidRDefault="002A635C" w:rsidP="00CA34DF">
      <w:pPr>
        <w:pStyle w:val="Section"/>
      </w:pPr>
      <w:bookmarkStart w:id="0" w:name="_Toc124333209"/>
      <w:r>
        <w:lastRenderedPageBreak/>
        <w:t>Executive summary</w:t>
      </w:r>
      <w:bookmarkEnd w:id="0"/>
    </w:p>
    <w:p w14:paraId="47652BD2" w14:textId="763CB840" w:rsidR="00745B8C" w:rsidRDefault="00745B8C" w:rsidP="00745B8C">
      <w:r>
        <w:t>Thank you for the opportunity to make a submission to the Legal Affairs and Safety Committee Inquiry into</w:t>
      </w:r>
      <w:r w:rsidR="00D35AC4" w:rsidRPr="00D35AC4">
        <w:t xml:space="preserve"> </w:t>
      </w:r>
      <w:r w:rsidR="00D35AC4">
        <w:t xml:space="preserve">the Births, </w:t>
      </w:r>
      <w:proofErr w:type="gramStart"/>
      <w:r w:rsidR="00D35AC4">
        <w:t>Deaths</w:t>
      </w:r>
      <w:proofErr w:type="gramEnd"/>
      <w:r w:rsidR="00D35AC4">
        <w:t xml:space="preserve"> and Marriages</w:t>
      </w:r>
      <w:r w:rsidR="00131696">
        <w:t xml:space="preserve"> Registration</w:t>
      </w:r>
      <w:r w:rsidR="00D35AC4">
        <w:t xml:space="preserve"> Bill 2022 (Qld)</w:t>
      </w:r>
      <w:r w:rsidR="00681878">
        <w:t xml:space="preserve"> (</w:t>
      </w:r>
      <w:r w:rsidR="00681878">
        <w:rPr>
          <w:b/>
          <w:bCs/>
        </w:rPr>
        <w:t>Bill</w:t>
      </w:r>
      <w:r w:rsidR="00681878">
        <w:t>)</w:t>
      </w:r>
      <w:r>
        <w:t>.</w:t>
      </w:r>
    </w:p>
    <w:p w14:paraId="4405C256" w14:textId="463EF24F" w:rsidR="00B95847" w:rsidRDefault="00B95847" w:rsidP="00745B8C">
      <w:r>
        <w:t xml:space="preserve">We congratulate the </w:t>
      </w:r>
      <w:r w:rsidR="00BB0310">
        <w:t>Queensland</w:t>
      </w:r>
      <w:r w:rsidR="00BB0310" w:rsidRPr="00BB0310">
        <w:t xml:space="preserve"> Government</w:t>
      </w:r>
      <w:r w:rsidR="00BB0310">
        <w:t xml:space="preserve"> on introducing </w:t>
      </w:r>
      <w:r w:rsidR="0018186E">
        <w:t>this</w:t>
      </w:r>
      <w:r w:rsidR="00BB0310">
        <w:t xml:space="preserve"> </w:t>
      </w:r>
      <w:r w:rsidR="0018186E">
        <w:t>landmark reform, which will improve the lives of trans and gender diverse Queenslanders, as well as delivering a simpler and fairer process for registering births, deaths and marriages for other Queenslanders, including LGBTIQ+ parents.</w:t>
      </w:r>
    </w:p>
    <w:p w14:paraId="195C6E7C" w14:textId="17C38499" w:rsidR="00B17041" w:rsidRDefault="003E4C05" w:rsidP="00AD598D">
      <w:pPr>
        <w:pStyle w:val="Intro"/>
      </w:pPr>
      <w:r w:rsidRPr="00AD598D">
        <w:t xml:space="preserve">Everyone deserves to be recognised for who they are. </w:t>
      </w:r>
      <w:r w:rsidR="007E5555" w:rsidRPr="00AD598D">
        <w:t xml:space="preserve">Identity documents that </w:t>
      </w:r>
      <w:r w:rsidR="009E3ADF" w:rsidRPr="00AD598D">
        <w:t>reflect a person’s gender</w:t>
      </w:r>
      <w:r w:rsidR="007E5555" w:rsidRPr="00AD598D">
        <w:t xml:space="preserve"> help ensure trans and gender diverse people are treated with dignity and respect when seeking services, </w:t>
      </w:r>
      <w:proofErr w:type="gramStart"/>
      <w:r w:rsidR="007E5555" w:rsidRPr="00AD598D">
        <w:t>education</w:t>
      </w:r>
      <w:proofErr w:type="gramEnd"/>
      <w:r w:rsidR="007E5555" w:rsidRPr="00AD598D">
        <w:t xml:space="preserve"> or employment opportunities</w:t>
      </w:r>
      <w:r w:rsidR="007544B9">
        <w:t>,</w:t>
      </w:r>
      <w:r w:rsidR="003E65B1" w:rsidRPr="00AD598D">
        <w:t xml:space="preserve"> and improve mental health outcomes</w:t>
      </w:r>
      <w:r w:rsidR="007E5555" w:rsidRPr="00AD598D">
        <w:t>.</w:t>
      </w:r>
      <w:r w:rsidR="003E65B1" w:rsidRPr="00AD598D">
        <w:t xml:space="preserve"> </w:t>
      </w:r>
      <w:r w:rsidR="00681878" w:rsidRPr="00AD598D">
        <w:t>Th</w:t>
      </w:r>
      <w:r w:rsidR="002E3620">
        <w:t>is</w:t>
      </w:r>
      <w:r w:rsidR="00681878" w:rsidRPr="00AD598D">
        <w:t xml:space="preserve"> Bill removes </w:t>
      </w:r>
      <w:r w:rsidR="007544B9">
        <w:t xml:space="preserve">cruel and </w:t>
      </w:r>
      <w:r w:rsidR="00681878" w:rsidRPr="00AD598D">
        <w:t xml:space="preserve">unnecessary obstacles </w:t>
      </w:r>
      <w:r w:rsidR="00AD598D" w:rsidRPr="00AD598D">
        <w:t>that prevent trans and gender diverse people from updating their legal gender, and in doing so</w:t>
      </w:r>
      <w:r w:rsidR="009C2900">
        <w:t>,</w:t>
      </w:r>
      <w:r w:rsidR="00AD598D" w:rsidRPr="00AD598D">
        <w:t xml:space="preserve"> </w:t>
      </w:r>
      <w:r w:rsidR="00A14CC8">
        <w:t xml:space="preserve">follows </w:t>
      </w:r>
      <w:r w:rsidR="00136494">
        <w:t>reforms that have been</w:t>
      </w:r>
      <w:r w:rsidR="00A14CC8">
        <w:t xml:space="preserve"> </w:t>
      </w:r>
      <w:r w:rsidR="00B17041">
        <w:t xml:space="preserve">implemented in almost every </w:t>
      </w:r>
      <w:r w:rsidR="000E0E0D">
        <w:t>other</w:t>
      </w:r>
      <w:r w:rsidR="00B17041">
        <w:t xml:space="preserve"> jurisdiction in Australia.  </w:t>
      </w:r>
    </w:p>
    <w:p w14:paraId="0260001C" w14:textId="07C0E46C" w:rsidR="007E5555" w:rsidRDefault="00B17041" w:rsidP="00AD598D">
      <w:pPr>
        <w:pStyle w:val="Intro"/>
        <w:rPr>
          <w:rStyle w:val="eop"/>
          <w:b w:val="0"/>
          <w:bCs/>
        </w:rPr>
      </w:pPr>
      <w:r>
        <w:rPr>
          <w:rStyle w:val="eop"/>
        </w:rPr>
        <w:t>Equality Australia warmly welcomes this Bill and recommends its passage into law.</w:t>
      </w:r>
    </w:p>
    <w:p w14:paraId="19F164D0" w14:textId="0070899E" w:rsidR="002A79EB" w:rsidRPr="00165EF8" w:rsidRDefault="00B17041" w:rsidP="00165EF8">
      <w:pPr>
        <w:rPr>
          <w:rStyle w:val="eop"/>
        </w:rPr>
      </w:pPr>
      <w:proofErr w:type="gramStart"/>
      <w:r>
        <w:rPr>
          <w:rStyle w:val="eop"/>
        </w:rPr>
        <w:t>In particular, we</w:t>
      </w:r>
      <w:proofErr w:type="gramEnd"/>
      <w:r>
        <w:rPr>
          <w:rStyle w:val="eop"/>
        </w:rPr>
        <w:t xml:space="preserve"> welcome</w:t>
      </w:r>
      <w:r w:rsidR="003A34C4">
        <w:rPr>
          <w:rStyle w:val="eop"/>
        </w:rPr>
        <w:t xml:space="preserve"> </w:t>
      </w:r>
      <w:r w:rsidR="00D377E4" w:rsidRPr="00165EF8">
        <w:rPr>
          <w:rStyle w:val="eop"/>
        </w:rPr>
        <w:t>provisions</w:t>
      </w:r>
      <w:r w:rsidR="002A79EB" w:rsidRPr="00165EF8">
        <w:rPr>
          <w:rStyle w:val="eop"/>
        </w:rPr>
        <w:t xml:space="preserve"> that: </w:t>
      </w:r>
    </w:p>
    <w:p w14:paraId="61B76C4D" w14:textId="106210E0" w:rsidR="002A635C" w:rsidRDefault="002A79EB">
      <w:pPr>
        <w:pStyle w:val="Bullet"/>
      </w:pPr>
      <w:r>
        <w:t xml:space="preserve">remove the cruel and unnecessary requirement for </w:t>
      </w:r>
      <w:r w:rsidR="00D377E4">
        <w:t>a person</w:t>
      </w:r>
      <w:r>
        <w:t xml:space="preserve"> to undergo surgery on their reproductive organs before updating their legal </w:t>
      </w:r>
      <w:proofErr w:type="gramStart"/>
      <w:r>
        <w:t>gender;</w:t>
      </w:r>
      <w:proofErr w:type="gramEnd"/>
    </w:p>
    <w:p w14:paraId="4627B313" w14:textId="77E92DD8" w:rsidR="007B3633" w:rsidRDefault="002A79EB">
      <w:pPr>
        <w:pStyle w:val="Bullet"/>
      </w:pPr>
      <w:r>
        <w:t xml:space="preserve">allow </w:t>
      </w:r>
      <w:r w:rsidR="00D377E4">
        <w:t xml:space="preserve">a person to </w:t>
      </w:r>
      <w:r w:rsidR="007B3633">
        <w:t xml:space="preserve">nominate a gender descriptor that best reflects their </w:t>
      </w:r>
      <w:proofErr w:type="gramStart"/>
      <w:r w:rsidR="007B3633">
        <w:t>identity;</w:t>
      </w:r>
      <w:proofErr w:type="gramEnd"/>
    </w:p>
    <w:p w14:paraId="72834581" w14:textId="1C204CBC" w:rsidR="002A79EB" w:rsidRPr="00626F22" w:rsidRDefault="00626F22">
      <w:pPr>
        <w:pStyle w:val="Bullet"/>
        <w:rPr>
          <w:rStyle w:val="normaltextrun"/>
        </w:rPr>
      </w:pPr>
      <w:r>
        <w:t xml:space="preserve">provide </w:t>
      </w:r>
      <w:r>
        <w:rPr>
          <w:rStyle w:val="normaltextrun"/>
          <w:rFonts w:ascii="Overpass Light" w:hAnsi="Overpass Light"/>
          <w:color w:val="000000"/>
          <w:szCs w:val="18"/>
          <w:shd w:val="clear" w:color="auto" w:fill="FFFFFF"/>
        </w:rPr>
        <w:t xml:space="preserve">Queenslanders who </w:t>
      </w:r>
      <w:r w:rsidR="00B46687">
        <w:rPr>
          <w:rStyle w:val="normaltextrun"/>
          <w:rFonts w:ascii="Overpass Light" w:hAnsi="Overpass Light"/>
          <w:color w:val="000000"/>
          <w:szCs w:val="18"/>
          <w:shd w:val="clear" w:color="auto" w:fill="FFFFFF"/>
        </w:rPr>
        <w:t>were born elsewhere with</w:t>
      </w:r>
      <w:r w:rsidR="00FC1AEA">
        <w:rPr>
          <w:rStyle w:val="normaltextrun"/>
          <w:rFonts w:ascii="Overpass Light" w:hAnsi="Overpass Light"/>
          <w:color w:val="000000"/>
          <w:szCs w:val="18"/>
          <w:shd w:val="clear" w:color="auto" w:fill="FFFFFF"/>
        </w:rPr>
        <w:t xml:space="preserve"> </w:t>
      </w:r>
      <w:r>
        <w:rPr>
          <w:rStyle w:val="normaltextrun"/>
          <w:rFonts w:ascii="Overpass Light" w:hAnsi="Overpass Light"/>
          <w:color w:val="000000"/>
          <w:szCs w:val="18"/>
          <w:shd w:val="clear" w:color="auto" w:fill="FFFFFF"/>
        </w:rPr>
        <w:t xml:space="preserve">identification that legally affirms their gender in </w:t>
      </w:r>
      <w:proofErr w:type="gramStart"/>
      <w:r>
        <w:rPr>
          <w:rStyle w:val="normaltextrun"/>
          <w:rFonts w:ascii="Overpass Light" w:hAnsi="Overpass Light"/>
          <w:color w:val="000000"/>
          <w:szCs w:val="18"/>
          <w:shd w:val="clear" w:color="auto" w:fill="FFFFFF"/>
        </w:rPr>
        <w:t>Queensland;</w:t>
      </w:r>
      <w:proofErr w:type="gramEnd"/>
    </w:p>
    <w:p w14:paraId="1537F361" w14:textId="304D53DB" w:rsidR="00626F22" w:rsidRPr="005729DB" w:rsidRDefault="005729DB">
      <w:pPr>
        <w:pStyle w:val="Bullet"/>
        <w:rPr>
          <w:rStyle w:val="normaltextrun"/>
        </w:rPr>
      </w:pPr>
      <w:r>
        <w:rPr>
          <w:rStyle w:val="normaltextrun"/>
          <w:rFonts w:ascii="Overpass Light" w:hAnsi="Overpass Light"/>
          <w:color w:val="000000"/>
          <w:szCs w:val="18"/>
          <w:shd w:val="clear" w:color="auto" w:fill="FFFFFF"/>
        </w:rPr>
        <w:t xml:space="preserve">provide pathways for </w:t>
      </w:r>
      <w:r w:rsidR="005D192F">
        <w:rPr>
          <w:rStyle w:val="normaltextrun"/>
          <w:rFonts w:ascii="Overpass Light" w:hAnsi="Overpass Light"/>
          <w:color w:val="000000"/>
          <w:szCs w:val="18"/>
          <w:shd w:val="clear" w:color="auto" w:fill="FFFFFF"/>
        </w:rPr>
        <w:t xml:space="preserve">young people of sufficient maturity </w:t>
      </w:r>
      <w:r>
        <w:rPr>
          <w:rStyle w:val="normaltextrun"/>
          <w:rFonts w:ascii="Overpass Light" w:hAnsi="Overpass Light"/>
          <w:color w:val="000000"/>
          <w:szCs w:val="18"/>
          <w:shd w:val="clear" w:color="auto" w:fill="FFFFFF"/>
        </w:rPr>
        <w:t>to update their gender</w:t>
      </w:r>
      <w:r w:rsidR="003264F0">
        <w:rPr>
          <w:rStyle w:val="normaltextrun"/>
          <w:rFonts w:ascii="Overpass Light" w:hAnsi="Overpass Light"/>
          <w:color w:val="000000"/>
          <w:szCs w:val="18"/>
          <w:shd w:val="clear" w:color="auto" w:fill="FFFFFF"/>
        </w:rPr>
        <w:t xml:space="preserve"> with the support of their parents or</w:t>
      </w:r>
      <w:r w:rsidR="00CA16FA">
        <w:rPr>
          <w:rStyle w:val="normaltextrun"/>
          <w:rFonts w:ascii="Overpass Light" w:hAnsi="Overpass Light"/>
          <w:color w:val="000000"/>
          <w:szCs w:val="18"/>
          <w:shd w:val="clear" w:color="auto" w:fill="FFFFFF"/>
        </w:rPr>
        <w:t xml:space="preserve"> legal guardians,</w:t>
      </w:r>
      <w:r w:rsidR="003264F0">
        <w:rPr>
          <w:rStyle w:val="normaltextrun"/>
          <w:rFonts w:ascii="Overpass Light" w:hAnsi="Overpass Light"/>
          <w:color w:val="000000"/>
          <w:szCs w:val="18"/>
          <w:shd w:val="clear" w:color="auto" w:fill="FFFFFF"/>
        </w:rPr>
        <w:t xml:space="preserve"> or</w:t>
      </w:r>
      <w:r w:rsidR="007A50FF">
        <w:rPr>
          <w:rStyle w:val="normaltextrun"/>
          <w:rFonts w:ascii="Overpass Light" w:hAnsi="Overpass Light"/>
          <w:color w:val="000000"/>
          <w:szCs w:val="18"/>
          <w:shd w:val="clear" w:color="auto" w:fill="FFFFFF"/>
        </w:rPr>
        <w:t xml:space="preserve"> where </w:t>
      </w:r>
      <w:r w:rsidR="00CA16FA">
        <w:rPr>
          <w:rStyle w:val="normaltextrun"/>
          <w:rFonts w:ascii="Overpass Light" w:hAnsi="Overpass Light"/>
          <w:color w:val="000000"/>
          <w:szCs w:val="18"/>
          <w:shd w:val="clear" w:color="auto" w:fill="FFFFFF"/>
        </w:rPr>
        <w:t>that is not possible, with the approval of</w:t>
      </w:r>
      <w:r w:rsidR="007A50FF">
        <w:rPr>
          <w:rStyle w:val="normaltextrun"/>
          <w:rFonts w:ascii="Overpass Light" w:hAnsi="Overpass Light"/>
          <w:color w:val="000000"/>
          <w:szCs w:val="18"/>
          <w:shd w:val="clear" w:color="auto" w:fill="FFFFFF"/>
        </w:rPr>
        <w:t xml:space="preserve"> </w:t>
      </w:r>
      <w:r w:rsidR="00932BBE">
        <w:rPr>
          <w:rStyle w:val="normaltextrun"/>
          <w:rFonts w:ascii="Overpass Light" w:hAnsi="Overpass Light"/>
          <w:color w:val="000000"/>
          <w:szCs w:val="18"/>
          <w:shd w:val="clear" w:color="auto" w:fill="FFFFFF"/>
        </w:rPr>
        <w:t>a court</w:t>
      </w:r>
      <w:r w:rsidR="00E41804">
        <w:rPr>
          <w:rStyle w:val="normaltextrun"/>
          <w:rFonts w:ascii="Overpass Light" w:hAnsi="Overpass Light"/>
          <w:color w:val="000000"/>
          <w:szCs w:val="18"/>
          <w:shd w:val="clear" w:color="auto" w:fill="FFFFFF"/>
        </w:rPr>
        <w:t xml:space="preserve"> focussed on their best </w:t>
      </w:r>
      <w:proofErr w:type="gramStart"/>
      <w:r w:rsidR="00E41804">
        <w:rPr>
          <w:rStyle w:val="normaltextrun"/>
          <w:rFonts w:ascii="Overpass Light" w:hAnsi="Overpass Light"/>
          <w:color w:val="000000"/>
          <w:szCs w:val="18"/>
          <w:shd w:val="clear" w:color="auto" w:fill="FFFFFF"/>
        </w:rPr>
        <w:t>interests</w:t>
      </w:r>
      <w:r>
        <w:rPr>
          <w:rStyle w:val="normaltextrun"/>
          <w:rFonts w:ascii="Overpass Light" w:hAnsi="Overpass Light"/>
          <w:color w:val="000000"/>
          <w:szCs w:val="18"/>
          <w:shd w:val="clear" w:color="auto" w:fill="FFFFFF"/>
        </w:rPr>
        <w:t>;</w:t>
      </w:r>
      <w:proofErr w:type="gramEnd"/>
    </w:p>
    <w:p w14:paraId="293DF86D" w14:textId="29CD8D3A" w:rsidR="005729DB" w:rsidRPr="00223617" w:rsidRDefault="005729DB">
      <w:pPr>
        <w:pStyle w:val="Bullet"/>
        <w:rPr>
          <w:rStyle w:val="normaltextrun"/>
        </w:rPr>
      </w:pPr>
      <w:r>
        <w:rPr>
          <w:rStyle w:val="normaltextrun"/>
          <w:rFonts w:ascii="Overpass Light" w:hAnsi="Overpass Light"/>
          <w:color w:val="000000"/>
          <w:szCs w:val="18"/>
          <w:shd w:val="clear" w:color="auto" w:fill="FFFFFF"/>
        </w:rPr>
        <w:t xml:space="preserve">streamline the process for a person to update their gender and change their name at the same </w:t>
      </w:r>
      <w:proofErr w:type="gramStart"/>
      <w:r>
        <w:rPr>
          <w:rStyle w:val="normaltextrun"/>
          <w:rFonts w:ascii="Overpass Light" w:hAnsi="Overpass Light"/>
          <w:color w:val="000000"/>
          <w:szCs w:val="18"/>
          <w:shd w:val="clear" w:color="auto" w:fill="FFFFFF"/>
        </w:rPr>
        <w:t>time</w:t>
      </w:r>
      <w:r w:rsidR="00F67B12">
        <w:rPr>
          <w:rStyle w:val="normaltextrun"/>
          <w:rFonts w:ascii="Overpass Light" w:hAnsi="Overpass Light"/>
          <w:color w:val="000000"/>
          <w:szCs w:val="18"/>
          <w:shd w:val="clear" w:color="auto" w:fill="FFFFFF"/>
        </w:rPr>
        <w:t>;</w:t>
      </w:r>
      <w:proofErr w:type="gramEnd"/>
    </w:p>
    <w:p w14:paraId="071BA4D0" w14:textId="0248B468" w:rsidR="00F67B12" w:rsidRPr="005729DB" w:rsidRDefault="00F67B12">
      <w:pPr>
        <w:pStyle w:val="Bullet"/>
        <w:rPr>
          <w:rStyle w:val="normaltextrun"/>
        </w:rPr>
      </w:pPr>
      <w:r>
        <w:rPr>
          <w:rStyle w:val="normaltextrun"/>
          <w:rFonts w:ascii="Overpass Light" w:hAnsi="Overpass Light"/>
          <w:color w:val="000000"/>
          <w:szCs w:val="18"/>
          <w:shd w:val="clear" w:color="auto" w:fill="FFFFFF"/>
        </w:rPr>
        <w:t xml:space="preserve">allow </w:t>
      </w:r>
      <w:r w:rsidR="009A269E">
        <w:rPr>
          <w:rStyle w:val="normaltextrun"/>
          <w:rFonts w:ascii="Overpass Light" w:hAnsi="Overpass Light"/>
          <w:color w:val="000000"/>
          <w:szCs w:val="18"/>
          <w:shd w:val="clear" w:color="auto" w:fill="FFFFFF"/>
        </w:rPr>
        <w:t>parents in</w:t>
      </w:r>
      <w:r>
        <w:rPr>
          <w:rStyle w:val="normaltextrun"/>
          <w:rFonts w:ascii="Overpass Light" w:hAnsi="Overpass Light"/>
          <w:color w:val="000000"/>
          <w:szCs w:val="18"/>
          <w:shd w:val="clear" w:color="auto" w:fill="FFFFFF"/>
        </w:rPr>
        <w:t xml:space="preserve"> </w:t>
      </w:r>
      <w:r w:rsidR="00626981">
        <w:rPr>
          <w:rStyle w:val="normaltextrun"/>
          <w:rFonts w:ascii="Overpass Light" w:hAnsi="Overpass Light"/>
          <w:color w:val="000000"/>
          <w:szCs w:val="18"/>
          <w:shd w:val="clear" w:color="auto" w:fill="FFFFFF"/>
        </w:rPr>
        <w:t>Queensland</w:t>
      </w:r>
      <w:r>
        <w:rPr>
          <w:rStyle w:val="normaltextrun"/>
          <w:rFonts w:ascii="Overpass Light" w:hAnsi="Overpass Light"/>
          <w:color w:val="000000"/>
          <w:szCs w:val="18"/>
          <w:shd w:val="clear" w:color="auto" w:fill="FFFFFF"/>
        </w:rPr>
        <w:t xml:space="preserve"> to choose to identify as ‘mother’, ‘father’, or ‘parent’ on their children’s birth certificate, thereby </w:t>
      </w:r>
      <w:r w:rsidR="00C7689E">
        <w:rPr>
          <w:rStyle w:val="normaltextrun"/>
          <w:rFonts w:ascii="Overpass Light" w:hAnsi="Overpass Light"/>
          <w:color w:val="000000"/>
          <w:szCs w:val="18"/>
          <w:shd w:val="clear" w:color="auto" w:fill="FFFFFF"/>
        </w:rPr>
        <w:t>recognising</w:t>
      </w:r>
      <w:r w:rsidR="00AE29D3">
        <w:rPr>
          <w:rStyle w:val="normaltextrun"/>
          <w:rFonts w:ascii="Overpass Light" w:hAnsi="Overpass Light"/>
          <w:color w:val="000000"/>
          <w:szCs w:val="18"/>
          <w:shd w:val="clear" w:color="auto" w:fill="FFFFFF"/>
        </w:rPr>
        <w:t xml:space="preserve"> rainbow families</w:t>
      </w:r>
      <w:r w:rsidR="00C7689E">
        <w:rPr>
          <w:rStyle w:val="normaltextrun"/>
          <w:rFonts w:ascii="Overpass Light" w:hAnsi="Overpass Light"/>
          <w:color w:val="000000"/>
          <w:szCs w:val="18"/>
          <w:shd w:val="clear" w:color="auto" w:fill="FFFFFF"/>
        </w:rPr>
        <w:t xml:space="preserve"> properly on birth certificates</w:t>
      </w:r>
      <w:r w:rsidR="00AE29D3">
        <w:rPr>
          <w:rStyle w:val="normaltextrun"/>
          <w:rFonts w:ascii="Overpass Light" w:hAnsi="Overpass Light"/>
          <w:color w:val="000000"/>
          <w:szCs w:val="18"/>
          <w:shd w:val="clear" w:color="auto" w:fill="FFFFFF"/>
        </w:rPr>
        <w:t xml:space="preserve">. </w:t>
      </w:r>
    </w:p>
    <w:p w14:paraId="169CF80B" w14:textId="5C39060E" w:rsidR="0062101D" w:rsidRDefault="0062101D" w:rsidP="005729DB">
      <w:pPr>
        <w:pStyle w:val="Bullet"/>
        <w:numPr>
          <w:ilvl w:val="0"/>
          <w:numId w:val="0"/>
        </w:numPr>
      </w:pPr>
      <w:r>
        <w:t xml:space="preserve">Each of these </w:t>
      </w:r>
      <w:r w:rsidR="006C20F6">
        <w:t xml:space="preserve">reform components have precedents in the reforms </w:t>
      </w:r>
      <w:r w:rsidR="00C70B03">
        <w:t>already</w:t>
      </w:r>
      <w:r w:rsidR="006C20F6">
        <w:t xml:space="preserve"> undertaken by </w:t>
      </w:r>
      <w:r w:rsidR="003C7F98">
        <w:t>almost all</w:t>
      </w:r>
      <w:r w:rsidR="006C20F6">
        <w:t xml:space="preserve"> Australian jurisdiction</w:t>
      </w:r>
      <w:r w:rsidR="003C7F98">
        <w:t>s, with</w:t>
      </w:r>
      <w:r w:rsidR="006C20F6">
        <w:t xml:space="preserve"> Queensland </w:t>
      </w:r>
      <w:r w:rsidR="003C7F98">
        <w:t>bringing</w:t>
      </w:r>
      <w:r w:rsidR="00594A7C">
        <w:t xml:space="preserve"> </w:t>
      </w:r>
      <w:r w:rsidR="00111EC2">
        <w:t xml:space="preserve">together </w:t>
      </w:r>
      <w:r w:rsidR="00594A7C">
        <w:t xml:space="preserve">the </w:t>
      </w:r>
      <w:r w:rsidR="003C7F98">
        <w:t>learnings</w:t>
      </w:r>
      <w:r w:rsidR="00594A7C">
        <w:t xml:space="preserve"> </w:t>
      </w:r>
      <w:r w:rsidR="000279A6">
        <w:t xml:space="preserve">from each state and territory </w:t>
      </w:r>
      <w:r w:rsidR="00D84757">
        <w:t xml:space="preserve">into one Bill that </w:t>
      </w:r>
      <w:r w:rsidR="006315C5">
        <w:t xml:space="preserve">draws </w:t>
      </w:r>
      <w:r w:rsidR="00CF4B05">
        <w:t>upon</w:t>
      </w:r>
      <w:r w:rsidR="00F8407B">
        <w:t xml:space="preserve"> some of the best aspects of </w:t>
      </w:r>
      <w:r w:rsidR="00CF4B05">
        <w:t>other</w:t>
      </w:r>
      <w:r w:rsidR="00F8407B">
        <w:t xml:space="preserve"> state and territory </w:t>
      </w:r>
      <w:r w:rsidR="00CF4B05">
        <w:t>laws</w:t>
      </w:r>
      <w:r w:rsidR="00F8407B">
        <w:t>.</w:t>
      </w:r>
      <w:r w:rsidR="00A75507">
        <w:t xml:space="preserve"> The Bill also has some important safeguards to ensure that the laws are</w:t>
      </w:r>
      <w:r w:rsidR="00A54A3E">
        <w:t xml:space="preserve"> only</w:t>
      </w:r>
      <w:r w:rsidR="00A75507">
        <w:t xml:space="preserve"> used for the beneficial purpose that </w:t>
      </w:r>
      <w:r w:rsidR="00A54A3E">
        <w:t xml:space="preserve">it is </w:t>
      </w:r>
      <w:r w:rsidR="00A75507">
        <w:t xml:space="preserve">intended: to make life easier </w:t>
      </w:r>
      <w:r w:rsidR="00327AD4">
        <w:t>for trans and gender diverse Queenslanders</w:t>
      </w:r>
      <w:r w:rsidR="004B564F">
        <w:t>,</w:t>
      </w:r>
      <w:r w:rsidR="00A54A3E">
        <w:t xml:space="preserve"> who deserve to be recognised for who they are.</w:t>
      </w:r>
    </w:p>
    <w:p w14:paraId="68994E73" w14:textId="47420ACA" w:rsidR="000C30D4" w:rsidRDefault="000C30D4" w:rsidP="000C30D4">
      <w:pPr>
        <w:pStyle w:val="Heading3"/>
        <w:rPr>
          <w:rFonts w:hint="eastAsia"/>
        </w:rPr>
      </w:pPr>
      <w:r>
        <w:t>list of recommendations</w:t>
      </w:r>
    </w:p>
    <w:p w14:paraId="55D785AF" w14:textId="127FB576" w:rsidR="00B02D8E" w:rsidRPr="00842DFF" w:rsidRDefault="00DF39DA" w:rsidP="003D5FEE">
      <w:pPr>
        <w:pStyle w:val="ListParagraph"/>
        <w:numPr>
          <w:ilvl w:val="0"/>
          <w:numId w:val="13"/>
        </w:numPr>
        <w:ind w:left="714" w:hanging="357"/>
        <w:contextualSpacing w:val="0"/>
      </w:pPr>
      <w:r w:rsidRPr="00842DFF">
        <w:rPr>
          <w:b/>
          <w:bCs/>
        </w:rPr>
        <w:t>Pass the Bill.</w:t>
      </w:r>
      <w:r w:rsidR="00CF4B05" w:rsidRPr="00842DFF">
        <w:t xml:space="preserve"> We warmly welcome this Bill and recommend its swift passage into law.</w:t>
      </w:r>
    </w:p>
    <w:p w14:paraId="0B9DED7C" w14:textId="6DFEA07D" w:rsidR="000C30D4" w:rsidRPr="006F309D" w:rsidRDefault="007079B0" w:rsidP="003D5FEE">
      <w:pPr>
        <w:pStyle w:val="ListParagraph"/>
        <w:numPr>
          <w:ilvl w:val="0"/>
          <w:numId w:val="13"/>
        </w:numPr>
        <w:ind w:left="714" w:hanging="357"/>
        <w:contextualSpacing w:val="0"/>
      </w:pPr>
      <w:r w:rsidRPr="006F309D">
        <w:rPr>
          <w:b/>
          <w:bCs/>
        </w:rPr>
        <w:t>Ensure</w:t>
      </w:r>
      <w:r w:rsidR="003D674C" w:rsidRPr="006F309D">
        <w:rPr>
          <w:b/>
          <w:bCs/>
        </w:rPr>
        <w:t xml:space="preserve"> </w:t>
      </w:r>
      <w:r w:rsidR="005469B9" w:rsidRPr="006F309D">
        <w:rPr>
          <w:b/>
          <w:bCs/>
        </w:rPr>
        <w:t>application</w:t>
      </w:r>
      <w:r w:rsidR="003D5FEE" w:rsidRPr="006F309D">
        <w:rPr>
          <w:b/>
          <w:bCs/>
        </w:rPr>
        <w:t xml:space="preserve"> fees</w:t>
      </w:r>
      <w:r w:rsidR="00CF4B05" w:rsidRPr="006F309D">
        <w:rPr>
          <w:b/>
          <w:bCs/>
        </w:rPr>
        <w:t xml:space="preserve"> </w:t>
      </w:r>
      <w:r w:rsidR="005469B9" w:rsidRPr="006F309D">
        <w:rPr>
          <w:b/>
          <w:bCs/>
        </w:rPr>
        <w:t xml:space="preserve">do not present a financial barrier to </w:t>
      </w:r>
      <w:r w:rsidR="00CF4B05" w:rsidRPr="006F309D">
        <w:rPr>
          <w:b/>
          <w:bCs/>
        </w:rPr>
        <w:t xml:space="preserve">updating gender and changing </w:t>
      </w:r>
      <w:r w:rsidR="005469B9" w:rsidRPr="006F309D">
        <w:rPr>
          <w:b/>
          <w:bCs/>
        </w:rPr>
        <w:t>name</w:t>
      </w:r>
      <w:r w:rsidR="003D5FEE" w:rsidRPr="006F309D">
        <w:rPr>
          <w:b/>
          <w:bCs/>
        </w:rPr>
        <w:t>.</w:t>
      </w:r>
      <w:r w:rsidR="003D5FEE" w:rsidRPr="006F309D">
        <w:t xml:space="preserve"> </w:t>
      </w:r>
      <w:r w:rsidR="00CF4B05" w:rsidRPr="006F309D">
        <w:t>We welcome the ability for trans and gender diverse people to</w:t>
      </w:r>
      <w:r w:rsidR="003D5FEE" w:rsidRPr="006F309D">
        <w:t xml:space="preserve"> </w:t>
      </w:r>
      <w:r w:rsidR="00CF2496" w:rsidRPr="006F309D">
        <w:t xml:space="preserve">be able to update their gender marker and change their name in one application. However, it appears that they may be charged </w:t>
      </w:r>
      <w:r w:rsidR="000D5000" w:rsidRPr="006F309D">
        <w:t>two fees</w:t>
      </w:r>
      <w:r w:rsidR="00CF2496" w:rsidRPr="006F309D">
        <w:t xml:space="preserve"> for this one application. </w:t>
      </w:r>
      <w:r w:rsidR="003D5FEE" w:rsidRPr="006F309D">
        <w:rPr>
          <w:rStyle w:val="PageNumber"/>
        </w:rPr>
        <w:t xml:space="preserve">Whether by changes to </w:t>
      </w:r>
      <w:r w:rsidR="001F3375" w:rsidRPr="006F309D">
        <w:rPr>
          <w:rStyle w:val="PageNumber"/>
        </w:rPr>
        <w:t>the</w:t>
      </w:r>
      <w:r w:rsidR="003D5FEE" w:rsidRPr="006F309D">
        <w:rPr>
          <w:rStyle w:val="PageNumber"/>
        </w:rPr>
        <w:t xml:space="preserve"> </w:t>
      </w:r>
      <w:r w:rsidR="00DF39DA" w:rsidRPr="006F309D">
        <w:rPr>
          <w:rStyle w:val="PageNumber"/>
        </w:rPr>
        <w:t xml:space="preserve">regulation </w:t>
      </w:r>
      <w:r w:rsidR="003D5FEE" w:rsidRPr="006F309D">
        <w:rPr>
          <w:rStyle w:val="PageNumber"/>
        </w:rPr>
        <w:t xml:space="preserve">or </w:t>
      </w:r>
      <w:r w:rsidR="00CF2496" w:rsidRPr="006F309D">
        <w:rPr>
          <w:rStyle w:val="PageNumber"/>
        </w:rPr>
        <w:t xml:space="preserve">by implementing a </w:t>
      </w:r>
      <w:r w:rsidR="003D5FEE" w:rsidRPr="006F309D">
        <w:rPr>
          <w:rStyle w:val="PageNumber"/>
        </w:rPr>
        <w:t>policy</w:t>
      </w:r>
      <w:r w:rsidR="00CF2496" w:rsidRPr="006F309D">
        <w:rPr>
          <w:rStyle w:val="PageNumber"/>
        </w:rPr>
        <w:t xml:space="preserve"> to guide the Registrar’s discretion</w:t>
      </w:r>
      <w:r w:rsidR="000D5000" w:rsidRPr="006F309D">
        <w:rPr>
          <w:rStyle w:val="PageNumber"/>
        </w:rPr>
        <w:t xml:space="preserve"> </w:t>
      </w:r>
      <w:r w:rsidR="00FB32DC" w:rsidRPr="006F309D">
        <w:rPr>
          <w:rStyle w:val="PageNumber"/>
        </w:rPr>
        <w:t>on fee waivers</w:t>
      </w:r>
      <w:r w:rsidR="003D5FEE" w:rsidRPr="006F309D">
        <w:rPr>
          <w:rStyle w:val="PageNumber"/>
        </w:rPr>
        <w:t>,</w:t>
      </w:r>
      <w:r w:rsidR="00CF2496" w:rsidRPr="006F309D">
        <w:rPr>
          <w:rStyle w:val="PageNumber"/>
        </w:rPr>
        <w:t xml:space="preserve"> we recommend that </w:t>
      </w:r>
      <w:r w:rsidR="000D5000" w:rsidRPr="006F309D">
        <w:rPr>
          <w:rStyle w:val="PageNumber"/>
        </w:rPr>
        <w:t xml:space="preserve">trans and gender diverse people be charged no more than </w:t>
      </w:r>
      <w:r w:rsidR="002F4E48" w:rsidRPr="006F309D">
        <w:rPr>
          <w:rStyle w:val="PageNumber"/>
        </w:rPr>
        <w:t>the operati</w:t>
      </w:r>
      <w:r w:rsidR="00A21333" w:rsidRPr="006F309D">
        <w:rPr>
          <w:rStyle w:val="PageNumber"/>
        </w:rPr>
        <w:t xml:space="preserve">onal cost of updating their </w:t>
      </w:r>
      <w:r w:rsidR="00BF0D43" w:rsidRPr="006F309D">
        <w:rPr>
          <w:rStyle w:val="PageNumber"/>
        </w:rPr>
        <w:t xml:space="preserve">gender marker </w:t>
      </w:r>
      <w:r w:rsidR="00A21333" w:rsidRPr="006F309D">
        <w:rPr>
          <w:rStyle w:val="PageNumber"/>
        </w:rPr>
        <w:t>and</w:t>
      </w:r>
      <w:r w:rsidR="005B6598" w:rsidRPr="006F309D">
        <w:rPr>
          <w:rStyle w:val="PageNumber"/>
        </w:rPr>
        <w:t xml:space="preserve"> changing their</w:t>
      </w:r>
      <w:r w:rsidR="00A21333" w:rsidRPr="006F309D">
        <w:rPr>
          <w:rStyle w:val="PageNumber"/>
        </w:rPr>
        <w:t xml:space="preserve"> name</w:t>
      </w:r>
      <w:r w:rsidR="00766FBB">
        <w:rPr>
          <w:rStyle w:val="PageNumber"/>
        </w:rPr>
        <w:t>, if they are to be charged for this service at all</w:t>
      </w:r>
      <w:r w:rsidR="00A21333" w:rsidRPr="006F309D">
        <w:rPr>
          <w:rStyle w:val="PageNumber"/>
        </w:rPr>
        <w:t>.</w:t>
      </w:r>
      <w:r w:rsidR="005B6598" w:rsidRPr="006F309D">
        <w:rPr>
          <w:rStyle w:val="PageNumber"/>
        </w:rPr>
        <w:t xml:space="preserve"> In any case, </w:t>
      </w:r>
      <w:r w:rsidR="00EC04F6" w:rsidRPr="006F309D">
        <w:rPr>
          <w:rStyle w:val="PageNumber"/>
        </w:rPr>
        <w:t xml:space="preserve">policies must ensure that </w:t>
      </w:r>
      <w:r w:rsidR="00671742" w:rsidRPr="006F309D">
        <w:rPr>
          <w:rStyle w:val="PageNumber"/>
        </w:rPr>
        <w:t>fees are waived</w:t>
      </w:r>
      <w:r w:rsidR="00EC04F6" w:rsidRPr="006F309D">
        <w:rPr>
          <w:rStyle w:val="PageNumber"/>
        </w:rPr>
        <w:t xml:space="preserve"> </w:t>
      </w:r>
      <w:r w:rsidR="00AF7640" w:rsidRPr="006F309D">
        <w:rPr>
          <w:rStyle w:val="PageNumber"/>
        </w:rPr>
        <w:t xml:space="preserve">when appropriate to ensure </w:t>
      </w:r>
      <w:r w:rsidR="00EC04F6" w:rsidRPr="006F309D">
        <w:rPr>
          <w:rStyle w:val="PageNumber"/>
        </w:rPr>
        <w:t xml:space="preserve">there are </w:t>
      </w:r>
      <w:r w:rsidR="003D5FEE" w:rsidRPr="006F309D">
        <w:rPr>
          <w:rStyle w:val="PageNumber"/>
        </w:rPr>
        <w:t>no financial barriers to a person obtaining an updated birth certificate that reflects their gender.</w:t>
      </w:r>
    </w:p>
    <w:p w14:paraId="5D1B036F" w14:textId="5FA267EF" w:rsidR="003D5FEE" w:rsidRPr="006F309D" w:rsidRDefault="00F6415C" w:rsidP="003D5FEE">
      <w:pPr>
        <w:pStyle w:val="ListParagraph"/>
        <w:numPr>
          <w:ilvl w:val="0"/>
          <w:numId w:val="13"/>
        </w:numPr>
        <w:ind w:left="714" w:hanging="357"/>
        <w:contextualSpacing w:val="0"/>
        <w:rPr>
          <w:rStyle w:val="PageNumber"/>
        </w:rPr>
      </w:pPr>
      <w:r w:rsidRPr="00172C13">
        <w:rPr>
          <w:rStyle w:val="PageNumber"/>
          <w:b/>
          <w:bCs/>
        </w:rPr>
        <w:t>Provide information about support services for young people and their families</w:t>
      </w:r>
      <w:r w:rsidR="003D5FEE" w:rsidRPr="00172C13">
        <w:rPr>
          <w:b/>
          <w:bCs/>
        </w:rPr>
        <w:t>.</w:t>
      </w:r>
      <w:r w:rsidR="003D5FEE" w:rsidRPr="006F309D">
        <w:rPr>
          <w:b/>
          <w:bCs/>
        </w:rPr>
        <w:t xml:space="preserve"> </w:t>
      </w:r>
      <w:r w:rsidR="004773FD" w:rsidRPr="006F309D">
        <w:t xml:space="preserve">We welcome </w:t>
      </w:r>
      <w:r w:rsidR="004773FD" w:rsidRPr="006F309D">
        <w:rPr>
          <w:rStyle w:val="PageNumber"/>
        </w:rPr>
        <w:t>the ability of young people to be able to update their gender with the support of their parents</w:t>
      </w:r>
      <w:r w:rsidR="00B10257" w:rsidRPr="006F309D">
        <w:rPr>
          <w:rStyle w:val="PageNumber"/>
        </w:rPr>
        <w:t xml:space="preserve"> or </w:t>
      </w:r>
      <w:r w:rsidR="00516038" w:rsidRPr="006F309D">
        <w:rPr>
          <w:rStyle w:val="PageNumber"/>
        </w:rPr>
        <w:t>legal guardians,</w:t>
      </w:r>
      <w:r w:rsidR="004773FD" w:rsidRPr="006F309D">
        <w:rPr>
          <w:rStyle w:val="PageNumber"/>
        </w:rPr>
        <w:t xml:space="preserve"> or court approval. We recommend that </w:t>
      </w:r>
      <w:r w:rsidR="003D5FEE" w:rsidRPr="006F309D">
        <w:rPr>
          <w:rStyle w:val="PageNumber"/>
        </w:rPr>
        <w:t xml:space="preserve">information </w:t>
      </w:r>
      <w:r w:rsidR="004773FD" w:rsidRPr="006F309D">
        <w:rPr>
          <w:rStyle w:val="PageNumber"/>
        </w:rPr>
        <w:t xml:space="preserve">is provided </w:t>
      </w:r>
      <w:r w:rsidR="003D5FEE" w:rsidRPr="006F309D">
        <w:rPr>
          <w:rStyle w:val="PageNumber"/>
        </w:rPr>
        <w:t xml:space="preserve">on the relevant pages of the Births, </w:t>
      </w:r>
      <w:proofErr w:type="gramStart"/>
      <w:r w:rsidR="003D5FEE" w:rsidRPr="006F309D">
        <w:rPr>
          <w:rStyle w:val="PageNumber"/>
        </w:rPr>
        <w:t>Deaths</w:t>
      </w:r>
      <w:proofErr w:type="gramEnd"/>
      <w:r w:rsidR="003D5FEE" w:rsidRPr="006F309D">
        <w:rPr>
          <w:rStyle w:val="PageNumber"/>
        </w:rPr>
        <w:t xml:space="preserve"> and Marriages website about how support services</w:t>
      </w:r>
      <w:r w:rsidR="001B6C08">
        <w:rPr>
          <w:rStyle w:val="PageNumber"/>
        </w:rPr>
        <w:t xml:space="preserve"> (including legal support)</w:t>
      </w:r>
      <w:r w:rsidR="003D5FEE" w:rsidRPr="006F309D">
        <w:rPr>
          <w:rStyle w:val="PageNumber"/>
        </w:rPr>
        <w:t xml:space="preserve"> can be accessed and applied </w:t>
      </w:r>
      <w:r w:rsidR="003D5FEE" w:rsidRPr="006F309D">
        <w:rPr>
          <w:rStyle w:val="PageNumber"/>
        </w:rPr>
        <w:lastRenderedPageBreak/>
        <w:t xml:space="preserve">for by young people </w:t>
      </w:r>
      <w:r w:rsidR="00232E5B" w:rsidRPr="006F309D">
        <w:rPr>
          <w:rStyle w:val="PageNumber"/>
        </w:rPr>
        <w:t>and their families</w:t>
      </w:r>
      <w:r w:rsidR="00384F26" w:rsidRPr="006F309D">
        <w:rPr>
          <w:rStyle w:val="PageNumber"/>
        </w:rPr>
        <w:t xml:space="preserve">, particularly where </w:t>
      </w:r>
      <w:r w:rsidR="00232E5B" w:rsidRPr="006F309D">
        <w:rPr>
          <w:rStyle w:val="PageNumber"/>
        </w:rPr>
        <w:t>young people</w:t>
      </w:r>
      <w:r w:rsidR="00384F26" w:rsidRPr="006F309D">
        <w:rPr>
          <w:rStyle w:val="PageNumber"/>
        </w:rPr>
        <w:t xml:space="preserve"> do not have the support of </w:t>
      </w:r>
      <w:r w:rsidR="008F7767">
        <w:rPr>
          <w:rStyle w:val="PageNumber"/>
        </w:rPr>
        <w:t>each of</w:t>
      </w:r>
      <w:r w:rsidR="004044C9" w:rsidRPr="006F309D">
        <w:rPr>
          <w:rStyle w:val="PageNumber"/>
        </w:rPr>
        <w:t xml:space="preserve"> </w:t>
      </w:r>
      <w:r w:rsidR="00B10257" w:rsidRPr="006F309D">
        <w:rPr>
          <w:rStyle w:val="PageNumber"/>
        </w:rPr>
        <w:t>their parents or legal guardians</w:t>
      </w:r>
      <w:r w:rsidR="003D5FEE" w:rsidRPr="006F309D">
        <w:rPr>
          <w:rStyle w:val="PageNumber"/>
        </w:rPr>
        <w:t>.</w:t>
      </w:r>
    </w:p>
    <w:p w14:paraId="78C8A3F3" w14:textId="57C0083B" w:rsidR="003D5FEE" w:rsidRPr="006F309D" w:rsidRDefault="00226ACE" w:rsidP="003D5FEE">
      <w:pPr>
        <w:pStyle w:val="ListParagraph"/>
        <w:numPr>
          <w:ilvl w:val="0"/>
          <w:numId w:val="13"/>
        </w:numPr>
        <w:ind w:left="714" w:hanging="357"/>
        <w:contextualSpacing w:val="0"/>
        <w:rPr>
          <w:rStyle w:val="PageNumber"/>
        </w:rPr>
      </w:pPr>
      <w:r>
        <w:rPr>
          <w:b/>
          <w:bCs/>
        </w:rPr>
        <w:t>Ensure e</w:t>
      </w:r>
      <w:r w:rsidR="00A028BB" w:rsidRPr="006F309D">
        <w:rPr>
          <w:b/>
          <w:bCs/>
        </w:rPr>
        <w:t xml:space="preserve">qual recognition and treatment </w:t>
      </w:r>
      <w:r>
        <w:rPr>
          <w:b/>
          <w:bCs/>
        </w:rPr>
        <w:t>under</w:t>
      </w:r>
      <w:r w:rsidR="00DD6155" w:rsidRPr="006F309D">
        <w:rPr>
          <w:b/>
          <w:bCs/>
        </w:rPr>
        <w:t xml:space="preserve"> Queensland</w:t>
      </w:r>
      <w:r w:rsidR="003D5FEE" w:rsidRPr="006F309D">
        <w:rPr>
          <w:b/>
          <w:bCs/>
        </w:rPr>
        <w:t xml:space="preserve"> law.</w:t>
      </w:r>
      <w:r w:rsidR="00071169" w:rsidRPr="006F309D">
        <w:rPr>
          <w:b/>
          <w:bCs/>
        </w:rPr>
        <w:t xml:space="preserve"> </w:t>
      </w:r>
      <w:r w:rsidR="00DD6155" w:rsidRPr="006F309D">
        <w:t xml:space="preserve">To ensure </w:t>
      </w:r>
      <w:r w:rsidR="00DD6155" w:rsidRPr="006F309D">
        <w:rPr>
          <w:rStyle w:val="PageNumber"/>
        </w:rPr>
        <w:t xml:space="preserve">trans and gender diverse people are recognised and treated equally under Queensland law, we recommend </w:t>
      </w:r>
      <w:r w:rsidR="00327C7B" w:rsidRPr="006F309D">
        <w:rPr>
          <w:rStyle w:val="PageNumber"/>
        </w:rPr>
        <w:t>an</w:t>
      </w:r>
      <w:r w:rsidR="00DD6155" w:rsidRPr="006F309D">
        <w:rPr>
          <w:rStyle w:val="PageNumber"/>
        </w:rPr>
        <w:t xml:space="preserve"> audit</w:t>
      </w:r>
      <w:r w:rsidR="00327C7B" w:rsidRPr="006F309D">
        <w:rPr>
          <w:rStyle w:val="PageNumber"/>
        </w:rPr>
        <w:t xml:space="preserve"> of</w:t>
      </w:r>
      <w:r w:rsidR="00071169" w:rsidRPr="006F309D">
        <w:rPr>
          <w:rStyle w:val="PageNumber"/>
        </w:rPr>
        <w:t xml:space="preserve"> Queensland laws that use gender</w:t>
      </w:r>
      <w:r w:rsidR="00DD6155" w:rsidRPr="006F309D">
        <w:rPr>
          <w:rStyle w:val="PageNumber"/>
        </w:rPr>
        <w:t>-</w:t>
      </w:r>
      <w:r w:rsidR="00071169" w:rsidRPr="006F309D">
        <w:rPr>
          <w:rStyle w:val="PageNumber"/>
        </w:rPr>
        <w:t>specific language or language that refers to people’s sex</w:t>
      </w:r>
      <w:r w:rsidR="002C24BB">
        <w:rPr>
          <w:rStyle w:val="PageNumber"/>
        </w:rPr>
        <w:t>-related</w:t>
      </w:r>
      <w:r w:rsidR="00071169" w:rsidRPr="006F309D">
        <w:rPr>
          <w:rStyle w:val="PageNumber"/>
        </w:rPr>
        <w:t xml:space="preserve"> characteristics</w:t>
      </w:r>
      <w:r w:rsidR="00142B18">
        <w:rPr>
          <w:rStyle w:val="PageNumber"/>
        </w:rPr>
        <w:t xml:space="preserve"> or</w:t>
      </w:r>
      <w:r w:rsidR="002C24BB">
        <w:rPr>
          <w:rStyle w:val="PageNumber"/>
        </w:rPr>
        <w:t xml:space="preserve"> bodily</w:t>
      </w:r>
      <w:r w:rsidR="00142B18">
        <w:rPr>
          <w:rStyle w:val="PageNumber"/>
        </w:rPr>
        <w:t xml:space="preserve"> </w:t>
      </w:r>
      <w:r w:rsidR="002C24BB">
        <w:rPr>
          <w:rStyle w:val="PageNumber"/>
        </w:rPr>
        <w:t>functions</w:t>
      </w:r>
      <w:r w:rsidR="00071169" w:rsidRPr="006F309D">
        <w:rPr>
          <w:rStyle w:val="PageNumber"/>
        </w:rPr>
        <w:t xml:space="preserve"> </w:t>
      </w:r>
      <w:r w:rsidR="00DD6155" w:rsidRPr="006F309D">
        <w:rPr>
          <w:rStyle w:val="PageNumber"/>
        </w:rPr>
        <w:t xml:space="preserve">to ensure all legal rights, entitlements, </w:t>
      </w:r>
      <w:proofErr w:type="gramStart"/>
      <w:r w:rsidR="00DD6155" w:rsidRPr="006F309D">
        <w:rPr>
          <w:rStyle w:val="PageNumber"/>
        </w:rPr>
        <w:t>privileges</w:t>
      </w:r>
      <w:proofErr w:type="gramEnd"/>
      <w:r w:rsidR="00DD6155" w:rsidRPr="006F309D">
        <w:rPr>
          <w:rStyle w:val="PageNumber"/>
        </w:rPr>
        <w:t xml:space="preserve"> and responsibilities are afforded equally to </w:t>
      </w:r>
      <w:r w:rsidR="000518C1" w:rsidRPr="006F309D">
        <w:rPr>
          <w:rStyle w:val="PageNumber"/>
        </w:rPr>
        <w:t xml:space="preserve">all Queenslanders, regardless of their gender or sex characteristics.  </w:t>
      </w:r>
    </w:p>
    <w:p w14:paraId="28891871" w14:textId="4E62AAF3" w:rsidR="0022228E" w:rsidRPr="00A76DDF" w:rsidRDefault="008E3F62" w:rsidP="003D5FEE">
      <w:pPr>
        <w:pStyle w:val="ListParagraph"/>
        <w:numPr>
          <w:ilvl w:val="0"/>
          <w:numId w:val="13"/>
        </w:numPr>
        <w:ind w:left="714" w:hanging="357"/>
        <w:contextualSpacing w:val="0"/>
        <w:rPr>
          <w:rStyle w:val="PageNumber"/>
          <w:b/>
          <w:bCs/>
        </w:rPr>
      </w:pPr>
      <w:r w:rsidRPr="00A76DDF">
        <w:rPr>
          <w:rStyle w:val="PageNumber"/>
          <w:b/>
          <w:bCs/>
        </w:rPr>
        <w:t xml:space="preserve">Ensuring prisoners are </w:t>
      </w:r>
      <w:r w:rsidR="002C583A" w:rsidRPr="00A76DDF">
        <w:rPr>
          <w:rStyle w:val="PageNumber"/>
          <w:b/>
          <w:bCs/>
        </w:rPr>
        <w:t xml:space="preserve">not unfairly prevented from affirming their gender. </w:t>
      </w:r>
      <w:r w:rsidR="002C583A" w:rsidRPr="00A76DDF">
        <w:rPr>
          <w:rStyle w:val="PageNumber"/>
        </w:rPr>
        <w:t xml:space="preserve">We support safeguards </w:t>
      </w:r>
      <w:r w:rsidR="00243A26" w:rsidRPr="00A76DDF">
        <w:rPr>
          <w:rStyle w:val="PageNumber"/>
        </w:rPr>
        <w:t xml:space="preserve">to protect the community from potential reoffending or the concealment of past offences, but the requirement that the </w:t>
      </w:r>
      <w:r w:rsidR="008D0642" w:rsidRPr="00A76DDF">
        <w:rPr>
          <w:rStyle w:val="PageNumber"/>
        </w:rPr>
        <w:t xml:space="preserve">Chief Executive, Queensland </w:t>
      </w:r>
      <w:r w:rsidR="00243A26" w:rsidRPr="00A76DDF">
        <w:rPr>
          <w:rStyle w:val="PageNumber"/>
        </w:rPr>
        <w:t>Corrective Services must consent to a person’s change of legal gender</w:t>
      </w:r>
      <w:r w:rsidR="00AD295D" w:rsidRPr="00A76DDF">
        <w:rPr>
          <w:rStyle w:val="PageNumber"/>
        </w:rPr>
        <w:t xml:space="preserve"> (as </w:t>
      </w:r>
      <w:r w:rsidR="001D5DF1" w:rsidRPr="00A76DDF">
        <w:rPr>
          <w:rStyle w:val="PageNumber"/>
        </w:rPr>
        <w:t>opposed to</w:t>
      </w:r>
      <w:r w:rsidR="00AD295D" w:rsidRPr="00A76DDF">
        <w:rPr>
          <w:rStyle w:val="PageNumber"/>
        </w:rPr>
        <w:t xml:space="preserve"> </w:t>
      </w:r>
      <w:r w:rsidR="008464C4" w:rsidRPr="00A76DDF">
        <w:rPr>
          <w:rStyle w:val="PageNumber"/>
        </w:rPr>
        <w:t>their</w:t>
      </w:r>
      <w:r w:rsidR="00AD295D" w:rsidRPr="00A76DDF">
        <w:rPr>
          <w:rStyle w:val="PageNumber"/>
        </w:rPr>
        <w:t xml:space="preserve"> change of name)</w:t>
      </w:r>
      <w:r w:rsidR="00243A26" w:rsidRPr="00A76DDF">
        <w:rPr>
          <w:rStyle w:val="PageNumber"/>
        </w:rPr>
        <w:t xml:space="preserve"> goes too </w:t>
      </w:r>
      <w:r w:rsidR="00AD295D" w:rsidRPr="00A76DDF">
        <w:rPr>
          <w:rStyle w:val="PageNumber"/>
        </w:rPr>
        <w:t>far.</w:t>
      </w:r>
      <w:r w:rsidR="002D586C" w:rsidRPr="00A76DDF">
        <w:rPr>
          <w:rStyle w:val="PageNumber"/>
        </w:rPr>
        <w:t xml:space="preserve"> This is because a change of legal gender does not </w:t>
      </w:r>
      <w:r w:rsidR="005F4D53" w:rsidRPr="00A76DDF">
        <w:rPr>
          <w:rStyle w:val="PageNumber"/>
        </w:rPr>
        <w:t>limit</w:t>
      </w:r>
      <w:r w:rsidR="002D586C" w:rsidRPr="00A76DDF">
        <w:rPr>
          <w:rStyle w:val="PageNumber"/>
        </w:rPr>
        <w:t xml:space="preserve"> </w:t>
      </w:r>
      <w:r w:rsidR="005F4D53" w:rsidRPr="00A76DDF">
        <w:rPr>
          <w:rStyle w:val="PageNumber"/>
        </w:rPr>
        <w:t xml:space="preserve">the powers of the </w:t>
      </w:r>
      <w:r w:rsidR="008D0642" w:rsidRPr="00A76DDF">
        <w:rPr>
          <w:rStyle w:val="PageNumber"/>
        </w:rPr>
        <w:t>Chief Executive</w:t>
      </w:r>
      <w:r w:rsidR="005F4D53" w:rsidRPr="00A76DDF">
        <w:rPr>
          <w:rStyle w:val="PageNumber"/>
        </w:rPr>
        <w:t xml:space="preserve"> to make appropriate arrangements for the custody of the </w:t>
      </w:r>
      <w:proofErr w:type="gramStart"/>
      <w:r w:rsidR="005874D3" w:rsidRPr="00A76DDF">
        <w:rPr>
          <w:rStyle w:val="PageNumber"/>
        </w:rPr>
        <w:t>person, and</w:t>
      </w:r>
      <w:proofErr w:type="gramEnd"/>
      <w:r w:rsidR="005874D3" w:rsidRPr="00A76DDF">
        <w:rPr>
          <w:rStyle w:val="PageNumber"/>
        </w:rPr>
        <w:t xml:space="preserve"> </w:t>
      </w:r>
      <w:r w:rsidR="008464C4" w:rsidRPr="00A76DDF">
        <w:rPr>
          <w:rStyle w:val="PageNumber"/>
        </w:rPr>
        <w:t xml:space="preserve">maintaining </w:t>
      </w:r>
      <w:r w:rsidR="005874D3" w:rsidRPr="00A76DDF">
        <w:rPr>
          <w:rStyle w:val="PageNumber"/>
        </w:rPr>
        <w:t>a consent requirement for a change of name preserves the</w:t>
      </w:r>
      <w:r w:rsidR="00CA2C9F" w:rsidRPr="00A76DDF">
        <w:rPr>
          <w:rStyle w:val="PageNumber"/>
        </w:rPr>
        <w:t xml:space="preserve"> ability for oversight</w:t>
      </w:r>
      <w:r w:rsidR="00870DDD" w:rsidRPr="00A76DDF">
        <w:rPr>
          <w:rStyle w:val="PageNumber"/>
        </w:rPr>
        <w:t xml:space="preserve"> </w:t>
      </w:r>
      <w:r w:rsidR="008464C4" w:rsidRPr="00A76DDF">
        <w:rPr>
          <w:rStyle w:val="PageNumber"/>
        </w:rPr>
        <w:t xml:space="preserve">from Corrections </w:t>
      </w:r>
      <w:r w:rsidR="00870DDD" w:rsidRPr="00A76DDF">
        <w:rPr>
          <w:rStyle w:val="PageNumber"/>
        </w:rPr>
        <w:t xml:space="preserve">and would be consistent with </w:t>
      </w:r>
      <w:r w:rsidR="00FE7C32" w:rsidRPr="00A76DDF">
        <w:rPr>
          <w:rStyle w:val="PageNumber"/>
        </w:rPr>
        <w:t xml:space="preserve">laws in </w:t>
      </w:r>
      <w:r w:rsidR="00870DDD" w:rsidRPr="00A76DDF">
        <w:rPr>
          <w:rStyle w:val="PageNumber"/>
        </w:rPr>
        <w:t>most states and territories</w:t>
      </w:r>
      <w:r w:rsidR="00AD295D" w:rsidRPr="00A76DDF">
        <w:rPr>
          <w:rStyle w:val="PageNumber"/>
        </w:rPr>
        <w:t xml:space="preserve">. </w:t>
      </w:r>
      <w:r w:rsidR="00D00D27" w:rsidRPr="00A76DDF">
        <w:rPr>
          <w:rStyle w:val="PageNumber"/>
        </w:rPr>
        <w:t xml:space="preserve">For this </w:t>
      </w:r>
      <w:proofErr w:type="gramStart"/>
      <w:r w:rsidR="00D00D27" w:rsidRPr="00A76DDF">
        <w:rPr>
          <w:rStyle w:val="PageNumber"/>
        </w:rPr>
        <w:t>reason</w:t>
      </w:r>
      <w:proofErr w:type="gramEnd"/>
      <w:r w:rsidR="00D00D27" w:rsidRPr="00A76DDF">
        <w:rPr>
          <w:rStyle w:val="PageNumber"/>
        </w:rPr>
        <w:t xml:space="preserve"> we recommend that </w:t>
      </w:r>
      <w:r w:rsidR="008933BE" w:rsidRPr="00A76DDF">
        <w:rPr>
          <w:rStyle w:val="PageNumber"/>
        </w:rPr>
        <w:t xml:space="preserve">the requirement for permission </w:t>
      </w:r>
      <w:r w:rsidR="00FF66FA" w:rsidRPr="00A76DDF">
        <w:rPr>
          <w:rStyle w:val="PageNumber"/>
        </w:rPr>
        <w:t xml:space="preserve">from Corrections </w:t>
      </w:r>
      <w:r w:rsidR="008933BE" w:rsidRPr="00A76DDF">
        <w:rPr>
          <w:rStyle w:val="PageNumber"/>
        </w:rPr>
        <w:t xml:space="preserve">to update </w:t>
      </w:r>
      <w:r w:rsidR="00102611" w:rsidRPr="00A76DDF">
        <w:rPr>
          <w:rStyle w:val="PageNumber"/>
        </w:rPr>
        <w:t>legal gender be removed,</w:t>
      </w:r>
      <w:r w:rsidR="00FF66FA" w:rsidRPr="00A76DDF">
        <w:rPr>
          <w:rStyle w:val="PageNumber"/>
        </w:rPr>
        <w:t xml:space="preserve"> maintaining only a requirement for permission in respect of changes of name.</w:t>
      </w:r>
      <w:r w:rsidR="006828B1" w:rsidRPr="00A76DDF">
        <w:rPr>
          <w:rStyle w:val="PageNumber"/>
        </w:rPr>
        <w:t xml:space="preserve"> We also recommend that prisoners who have been denied </w:t>
      </w:r>
      <w:r w:rsidR="00A76DDF" w:rsidRPr="00A76DDF">
        <w:rPr>
          <w:rStyle w:val="PageNumber"/>
        </w:rPr>
        <w:t>permission</w:t>
      </w:r>
      <w:r w:rsidR="006828B1" w:rsidRPr="00A76DDF">
        <w:rPr>
          <w:rStyle w:val="PageNumber"/>
        </w:rPr>
        <w:t xml:space="preserve"> by the Chief Executive, Queensland Corrective Services to have their name changed are afforded legal support to have their applications legally reviewed.  </w:t>
      </w:r>
    </w:p>
    <w:p w14:paraId="3EC88557" w14:textId="36135BD0" w:rsidR="006F309D" w:rsidRPr="00A13E60" w:rsidRDefault="006F309D" w:rsidP="003D5FEE">
      <w:pPr>
        <w:pStyle w:val="ListParagraph"/>
        <w:numPr>
          <w:ilvl w:val="0"/>
          <w:numId w:val="13"/>
        </w:numPr>
        <w:ind w:left="714" w:hanging="357"/>
        <w:contextualSpacing w:val="0"/>
      </w:pPr>
      <w:r w:rsidRPr="00A13E60">
        <w:rPr>
          <w:rStyle w:val="PageNumber"/>
          <w:b/>
          <w:bCs/>
        </w:rPr>
        <w:t xml:space="preserve">Implement the </w:t>
      </w:r>
      <w:r w:rsidR="00576432" w:rsidRPr="00A13E60">
        <w:rPr>
          <w:rStyle w:val="PageNumber"/>
          <w:b/>
          <w:bCs/>
        </w:rPr>
        <w:t xml:space="preserve">Queensland Human Rights Commission’s </w:t>
      </w:r>
      <w:r w:rsidRPr="00A13E60">
        <w:rPr>
          <w:rStyle w:val="PageNumber"/>
          <w:b/>
          <w:bCs/>
        </w:rPr>
        <w:t xml:space="preserve">recommendations </w:t>
      </w:r>
      <w:r w:rsidR="00577FFC" w:rsidRPr="00A13E60">
        <w:rPr>
          <w:rStyle w:val="PageNumber"/>
          <w:b/>
          <w:bCs/>
        </w:rPr>
        <w:t>for</w:t>
      </w:r>
      <w:r w:rsidRPr="00A13E60">
        <w:rPr>
          <w:rStyle w:val="PageNumber"/>
          <w:b/>
          <w:bCs/>
        </w:rPr>
        <w:t xml:space="preserve"> </w:t>
      </w:r>
      <w:r w:rsidR="00577FFC" w:rsidRPr="00A13E60">
        <w:rPr>
          <w:rStyle w:val="PageNumber"/>
          <w:b/>
          <w:bCs/>
        </w:rPr>
        <w:t>updating Queensland</w:t>
      </w:r>
      <w:r w:rsidR="006E3C18" w:rsidRPr="00A13E60">
        <w:rPr>
          <w:rStyle w:val="PageNumber"/>
          <w:b/>
          <w:bCs/>
        </w:rPr>
        <w:t>’s anti-</w:t>
      </w:r>
      <w:r w:rsidR="00577FFC" w:rsidRPr="00A13E60">
        <w:rPr>
          <w:rStyle w:val="PageNumber"/>
          <w:b/>
          <w:bCs/>
        </w:rPr>
        <w:t>discrimination law</w:t>
      </w:r>
      <w:r w:rsidRPr="00A13E60">
        <w:rPr>
          <w:rStyle w:val="PageNumber"/>
        </w:rPr>
        <w:t>.</w:t>
      </w:r>
      <w:r w:rsidR="00576432" w:rsidRPr="00A13E60">
        <w:rPr>
          <w:rStyle w:val="PageNumber"/>
        </w:rPr>
        <w:t xml:space="preserve"> </w:t>
      </w:r>
      <w:r w:rsidR="00154995" w:rsidRPr="00A13E60">
        <w:rPr>
          <w:rStyle w:val="PageNumber"/>
        </w:rPr>
        <w:t xml:space="preserve">We welcome </w:t>
      </w:r>
      <w:r w:rsidR="00154995" w:rsidRPr="00A13E60">
        <w:t xml:space="preserve">the repeal of the stigmatising ‘working with children’ exemption in the </w:t>
      </w:r>
      <w:r w:rsidR="00154995" w:rsidRPr="00A13E60">
        <w:rPr>
          <w:i/>
          <w:iCs/>
        </w:rPr>
        <w:t>Anti-Discrimination Act</w:t>
      </w:r>
      <w:r w:rsidR="00646E90" w:rsidRPr="00A13E60">
        <w:rPr>
          <w:i/>
          <w:iCs/>
        </w:rPr>
        <w:t xml:space="preserve"> 1991 </w:t>
      </w:r>
      <w:r w:rsidR="00646E90" w:rsidRPr="00A13E60">
        <w:t>(Qld)</w:t>
      </w:r>
      <w:r w:rsidR="006E3C18" w:rsidRPr="00A13E60">
        <w:t xml:space="preserve">. To ensure the </w:t>
      </w:r>
      <w:r w:rsidR="00D0198D" w:rsidRPr="00A13E60">
        <w:t xml:space="preserve">new definitions of ‘gender identity’ and ‘sex characteristics’ work as intended, we recommend </w:t>
      </w:r>
      <w:r w:rsidR="008D28FC" w:rsidRPr="00A13E60">
        <w:t>future</w:t>
      </w:r>
      <w:r w:rsidR="00D0198D" w:rsidRPr="00A13E60">
        <w:t xml:space="preserve"> reforms implement the remaining recommendations from the </w:t>
      </w:r>
      <w:r w:rsidR="00576432" w:rsidRPr="00A13E60">
        <w:t>Queensland Human Rights Commission</w:t>
      </w:r>
      <w:r w:rsidR="00D80B25" w:rsidRPr="00A13E60">
        <w:t>’s</w:t>
      </w:r>
      <w:r w:rsidR="00576432" w:rsidRPr="00A13E60">
        <w:t xml:space="preserve"> </w:t>
      </w:r>
      <w:r w:rsidR="00576432" w:rsidRPr="00A13E60">
        <w:rPr>
          <w:i/>
          <w:iCs/>
        </w:rPr>
        <w:t xml:space="preserve">Building Belonging </w:t>
      </w:r>
      <w:r w:rsidR="00576432" w:rsidRPr="00A13E60">
        <w:t>report</w:t>
      </w:r>
      <w:r w:rsidR="00D0198D" w:rsidRPr="00A13E60">
        <w:t>, particularly</w:t>
      </w:r>
      <w:r w:rsidR="00E55E4D" w:rsidRPr="00A13E60">
        <w:t xml:space="preserve"> the recommendations on</w:t>
      </w:r>
      <w:r w:rsidR="00D0198D" w:rsidRPr="00A13E60">
        <w:t xml:space="preserve"> </w:t>
      </w:r>
      <w:r w:rsidR="00E55E4D" w:rsidRPr="00A13E60">
        <w:t>updating</w:t>
      </w:r>
      <w:r w:rsidR="00D0198D" w:rsidRPr="00A13E60">
        <w:t xml:space="preserve"> the definitions of direct and indirect discrimination</w:t>
      </w:r>
      <w:r w:rsidR="00E55E4D" w:rsidRPr="00A13E60">
        <w:t xml:space="preserve"> and removing the comparator test</w:t>
      </w:r>
      <w:r w:rsidR="00D80B25" w:rsidRPr="00A13E60">
        <w:t>.</w:t>
      </w:r>
    </w:p>
    <w:p w14:paraId="4C47A90A" w14:textId="58E10BC4" w:rsidR="004F131E" w:rsidRPr="00166677" w:rsidRDefault="00051EB3" w:rsidP="00B67CBD">
      <w:pPr>
        <w:pStyle w:val="ListParagraph"/>
        <w:numPr>
          <w:ilvl w:val="0"/>
          <w:numId w:val="13"/>
        </w:numPr>
        <w:rPr>
          <w:rStyle w:val="PageNumber"/>
        </w:rPr>
      </w:pPr>
      <w:r w:rsidRPr="00166677">
        <w:rPr>
          <w:rStyle w:val="eop"/>
          <w:rFonts w:ascii="Overpass Light" w:hAnsi="Overpass Light"/>
          <w:b/>
          <w:bCs/>
          <w:color w:val="000000"/>
          <w:szCs w:val="18"/>
          <w:shd w:val="clear" w:color="auto" w:fill="FFFFFF"/>
        </w:rPr>
        <w:t xml:space="preserve">Commit to </w:t>
      </w:r>
      <w:r w:rsidR="004F131E" w:rsidRPr="00166677">
        <w:rPr>
          <w:rStyle w:val="eop"/>
          <w:rFonts w:ascii="Overpass Light" w:hAnsi="Overpass Light"/>
          <w:b/>
          <w:bCs/>
          <w:color w:val="000000"/>
          <w:szCs w:val="18"/>
          <w:shd w:val="clear" w:color="auto" w:fill="FFFFFF"/>
        </w:rPr>
        <w:t>protecting</w:t>
      </w:r>
      <w:r w:rsidRPr="00166677">
        <w:rPr>
          <w:rStyle w:val="eop"/>
          <w:rFonts w:ascii="Overpass Light" w:hAnsi="Overpass Light"/>
          <w:b/>
          <w:bCs/>
          <w:color w:val="000000"/>
          <w:szCs w:val="18"/>
          <w:shd w:val="clear" w:color="auto" w:fill="FFFFFF"/>
        </w:rPr>
        <w:t xml:space="preserve"> intersex people </w:t>
      </w:r>
      <w:r w:rsidR="004F131E" w:rsidRPr="00166677">
        <w:rPr>
          <w:rStyle w:val="eop"/>
          <w:rFonts w:ascii="Overpass Light" w:hAnsi="Overpass Light"/>
          <w:b/>
          <w:bCs/>
          <w:color w:val="000000"/>
          <w:szCs w:val="18"/>
          <w:shd w:val="clear" w:color="auto" w:fill="FFFFFF"/>
        </w:rPr>
        <w:t>from unnecessary medical treatment without their consent</w:t>
      </w:r>
      <w:r w:rsidRPr="00166677">
        <w:rPr>
          <w:rStyle w:val="PageNumber"/>
          <w:b/>
          <w:bCs/>
        </w:rPr>
        <w:t>.</w:t>
      </w:r>
      <w:r w:rsidRPr="00166677">
        <w:rPr>
          <w:rStyle w:val="PageNumber"/>
        </w:rPr>
        <w:t xml:space="preserve"> </w:t>
      </w:r>
      <w:r w:rsidR="00B67CBD" w:rsidRPr="00166677">
        <w:rPr>
          <w:rStyle w:val="PageNumber"/>
        </w:rPr>
        <w:t xml:space="preserve">We welcome the provision of additional time for parents of children born with variations in sex characteristics to register their child’s birth. However, </w:t>
      </w:r>
      <w:r w:rsidR="006C3C7D" w:rsidRPr="00166677">
        <w:rPr>
          <w:rStyle w:val="PageNumber"/>
        </w:rPr>
        <w:t xml:space="preserve">to protect </w:t>
      </w:r>
      <w:r w:rsidR="00B67CBD" w:rsidRPr="00166677">
        <w:rPr>
          <w:rStyle w:val="PageNumber"/>
        </w:rPr>
        <w:t xml:space="preserve">intersex children </w:t>
      </w:r>
      <w:r w:rsidR="006C3C7D" w:rsidRPr="00166677">
        <w:rPr>
          <w:rStyle w:val="PageNumber"/>
        </w:rPr>
        <w:t>from</w:t>
      </w:r>
      <w:r w:rsidR="00717ADB" w:rsidRPr="00166677">
        <w:rPr>
          <w:rStyle w:val="PageNumber"/>
        </w:rPr>
        <w:t xml:space="preserve"> so-called ‘normalising’ procedures on their sex characteristics</w:t>
      </w:r>
      <w:r w:rsidR="00C77C12" w:rsidRPr="00166677">
        <w:rPr>
          <w:rStyle w:val="PageNumber"/>
        </w:rPr>
        <w:t>, w</w:t>
      </w:r>
      <w:r w:rsidR="00B67CBD" w:rsidRPr="00166677">
        <w:rPr>
          <w:rStyle w:val="PageNumber"/>
        </w:rPr>
        <w:t>e recommend the</w:t>
      </w:r>
      <w:r w:rsidR="006F309D" w:rsidRPr="00166677">
        <w:rPr>
          <w:rStyle w:val="PageNumber"/>
        </w:rPr>
        <w:t xml:space="preserve"> Queensland Government commit</w:t>
      </w:r>
      <w:r w:rsidR="00C77C12" w:rsidRPr="00166677">
        <w:rPr>
          <w:rStyle w:val="PageNumber"/>
        </w:rPr>
        <w:t>s</w:t>
      </w:r>
      <w:r w:rsidR="006F309D" w:rsidRPr="00166677">
        <w:rPr>
          <w:rStyle w:val="PageNumber"/>
        </w:rPr>
        <w:t xml:space="preserve"> to</w:t>
      </w:r>
      <w:r w:rsidR="00C77C12" w:rsidRPr="00166677">
        <w:rPr>
          <w:rStyle w:val="PageNumber"/>
        </w:rPr>
        <w:t xml:space="preserve"> further legislative reform</w:t>
      </w:r>
      <w:r w:rsidR="006F309D" w:rsidRPr="00166677">
        <w:rPr>
          <w:rStyle w:val="PageNumber"/>
        </w:rPr>
        <w:t xml:space="preserve"> that protects intersex people from unnecessary medical treatment without personal consent. </w:t>
      </w:r>
    </w:p>
    <w:p w14:paraId="339673AC" w14:textId="57F9AFC6" w:rsidR="006F309D" w:rsidRPr="006F309D" w:rsidRDefault="006F309D" w:rsidP="004F131E">
      <w:pPr>
        <w:pStyle w:val="ListParagraph"/>
        <w:contextualSpacing w:val="0"/>
        <w:rPr>
          <w:rStyle w:val="PageNumber"/>
        </w:rPr>
      </w:pPr>
    </w:p>
    <w:p w14:paraId="6B516A44" w14:textId="77777777" w:rsidR="00EC3B38" w:rsidRDefault="00EC3B38" w:rsidP="002A635C"/>
    <w:p w14:paraId="54C5643D" w14:textId="0D3098BF" w:rsidR="007D5C5C" w:rsidRDefault="007D5C5C">
      <w:pPr>
        <w:spacing w:before="0" w:after="160" w:line="259" w:lineRule="auto"/>
      </w:pPr>
      <w:r>
        <w:br w:type="page"/>
      </w:r>
    </w:p>
    <w:p w14:paraId="1C60901C" w14:textId="25A100C4" w:rsidR="00EC3B38" w:rsidRDefault="00944BAB" w:rsidP="007D5C5C">
      <w:pPr>
        <w:pStyle w:val="Section"/>
      </w:pPr>
      <w:bookmarkStart w:id="1" w:name="_Toc124333210"/>
      <w:r>
        <w:lastRenderedPageBreak/>
        <w:t xml:space="preserve">Everyone </w:t>
      </w:r>
      <w:r w:rsidR="00FC0CF2">
        <w:t>d</w:t>
      </w:r>
      <w:r>
        <w:t xml:space="preserve">eserves to be </w:t>
      </w:r>
      <w:r w:rsidR="00FC0CF2">
        <w:t>r</w:t>
      </w:r>
      <w:r>
        <w:t>ecognised</w:t>
      </w:r>
      <w:r w:rsidR="00FC0CF2">
        <w:t xml:space="preserve"> for who they are</w:t>
      </w:r>
      <w:bookmarkEnd w:id="1"/>
    </w:p>
    <w:p w14:paraId="409F3897" w14:textId="0D317D33" w:rsidR="000E2155" w:rsidRPr="009362CD" w:rsidRDefault="000E2155" w:rsidP="009362CD">
      <w:pPr>
        <w:pStyle w:val="Intro"/>
      </w:pPr>
      <w:r w:rsidRPr="009362CD">
        <w:t>Everyone deserves to be recognised for who they are</w:t>
      </w:r>
      <w:r w:rsidR="00344123" w:rsidRPr="009362CD">
        <w:t xml:space="preserve">. </w:t>
      </w:r>
      <w:r w:rsidR="009362CD" w:rsidRPr="009362CD">
        <w:rPr>
          <w:rStyle w:val="normaltextrun"/>
        </w:rPr>
        <w:t xml:space="preserve">Trans and gender diverse people </w:t>
      </w:r>
      <w:r w:rsidR="009D3547">
        <w:rPr>
          <w:rStyle w:val="normaltextrun"/>
        </w:rPr>
        <w:t>need</w:t>
      </w:r>
      <w:r w:rsidR="00156435" w:rsidRPr="009362CD">
        <w:rPr>
          <w:rStyle w:val="normaltextrun"/>
        </w:rPr>
        <w:t xml:space="preserve"> </w:t>
      </w:r>
      <w:r w:rsidR="009362CD" w:rsidRPr="009362CD">
        <w:rPr>
          <w:rStyle w:val="normaltextrun"/>
        </w:rPr>
        <w:t>access to identification documents that accurately reflect their gender</w:t>
      </w:r>
      <w:r w:rsidR="00053D4B">
        <w:rPr>
          <w:rStyle w:val="normaltextrun"/>
        </w:rPr>
        <w:t xml:space="preserve"> to</w:t>
      </w:r>
      <w:r w:rsidR="009362CD" w:rsidRPr="009362CD">
        <w:rPr>
          <w:rStyle w:val="normaltextrun"/>
        </w:rPr>
        <w:t xml:space="preserve"> ensur</w:t>
      </w:r>
      <w:r w:rsidR="00053D4B">
        <w:rPr>
          <w:rStyle w:val="normaltextrun"/>
        </w:rPr>
        <w:t>e</w:t>
      </w:r>
      <w:r w:rsidR="009362CD" w:rsidRPr="009362CD">
        <w:rPr>
          <w:rStyle w:val="normaltextrun"/>
        </w:rPr>
        <w:t xml:space="preserve"> they are treated with dignity and respect whenever </w:t>
      </w:r>
      <w:r w:rsidR="0049763B">
        <w:rPr>
          <w:rStyle w:val="normaltextrun"/>
        </w:rPr>
        <w:t>they are required</w:t>
      </w:r>
      <w:r w:rsidR="009362CD" w:rsidRPr="009362CD">
        <w:rPr>
          <w:rStyle w:val="normaltextrun"/>
        </w:rPr>
        <w:t xml:space="preserve"> to prove their identity.</w:t>
      </w:r>
      <w:r w:rsidR="009362CD" w:rsidRPr="009362CD">
        <w:rPr>
          <w:rStyle w:val="eop"/>
        </w:rPr>
        <w:t> </w:t>
      </w:r>
      <w:r w:rsidR="00E03E92">
        <w:rPr>
          <w:rStyle w:val="eop"/>
        </w:rPr>
        <w:t xml:space="preserve">Reflecting reforms in almost every other Australian jurisdiction, </w:t>
      </w:r>
      <w:r w:rsidR="00E03E92">
        <w:t>t</w:t>
      </w:r>
      <w:r w:rsidR="00E03E92" w:rsidRPr="009362CD">
        <w:t>he</w:t>
      </w:r>
      <w:r w:rsidR="0018448A" w:rsidRPr="009362CD">
        <w:t xml:space="preserve"> proposed r</w:t>
      </w:r>
      <w:r w:rsidR="00420030" w:rsidRPr="009362CD">
        <w:t>eforms to the</w:t>
      </w:r>
      <w:r w:rsidR="00D35AC4" w:rsidRPr="009362CD">
        <w:t xml:space="preserve"> </w:t>
      </w:r>
      <w:r w:rsidR="00D35AC4" w:rsidRPr="009362CD">
        <w:rPr>
          <w:i/>
          <w:iCs/>
        </w:rPr>
        <w:t xml:space="preserve">Births, </w:t>
      </w:r>
      <w:proofErr w:type="gramStart"/>
      <w:r w:rsidR="00D35AC4" w:rsidRPr="009362CD">
        <w:rPr>
          <w:i/>
          <w:iCs/>
        </w:rPr>
        <w:t>Deaths</w:t>
      </w:r>
      <w:proofErr w:type="gramEnd"/>
      <w:r w:rsidR="00D35AC4" w:rsidRPr="009362CD">
        <w:rPr>
          <w:i/>
          <w:iCs/>
        </w:rPr>
        <w:t xml:space="preserve"> and Marriages </w:t>
      </w:r>
      <w:r w:rsidR="00131696" w:rsidRPr="009362CD">
        <w:rPr>
          <w:i/>
          <w:iCs/>
        </w:rPr>
        <w:t xml:space="preserve">Registration </w:t>
      </w:r>
      <w:r w:rsidR="00420030" w:rsidRPr="009362CD">
        <w:rPr>
          <w:i/>
          <w:iCs/>
        </w:rPr>
        <w:t>Act</w:t>
      </w:r>
      <w:r w:rsidR="00D35AC4" w:rsidRPr="009362CD">
        <w:rPr>
          <w:i/>
          <w:iCs/>
        </w:rPr>
        <w:t xml:space="preserve"> </w:t>
      </w:r>
      <w:r w:rsidR="0018448A" w:rsidRPr="009362CD">
        <w:rPr>
          <w:i/>
          <w:iCs/>
        </w:rPr>
        <w:t>2003</w:t>
      </w:r>
      <w:r w:rsidR="00D35AC4" w:rsidRPr="009362CD">
        <w:t xml:space="preserve"> (Qld) </w:t>
      </w:r>
      <w:r w:rsidR="002B44D4" w:rsidRPr="009362CD">
        <w:t>remov</w:t>
      </w:r>
      <w:r w:rsidR="00657627">
        <w:t>e</w:t>
      </w:r>
      <w:r w:rsidR="002B44D4" w:rsidRPr="009362CD">
        <w:t xml:space="preserve"> </w:t>
      </w:r>
      <w:r w:rsidR="00DB4374">
        <w:t>significant</w:t>
      </w:r>
      <w:r w:rsidR="002B44D4" w:rsidRPr="009362CD">
        <w:t xml:space="preserve"> barriers faced by trans and gender diverse people </w:t>
      </w:r>
      <w:r w:rsidR="00DB4374">
        <w:t xml:space="preserve">in </w:t>
      </w:r>
      <w:r w:rsidR="002B44D4" w:rsidRPr="009362CD">
        <w:t>updating their legal gender in Queensland.</w:t>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BB67C9" w14:paraId="1CB54F7C" w14:textId="77777777">
        <w:trPr>
          <w:trHeight w:val="821"/>
        </w:trPr>
        <w:tc>
          <w:tcPr>
            <w:tcW w:w="8871" w:type="dxa"/>
            <w:tcMar>
              <w:bottom w:w="142" w:type="dxa"/>
            </w:tcMar>
          </w:tcPr>
          <w:p w14:paraId="5F7C027A" w14:textId="77777777" w:rsidR="00BB67C9" w:rsidRDefault="00BB67C9">
            <w:pPr>
              <w:rPr>
                <w:rStyle w:val="PageNumber"/>
                <w:rFonts w:ascii="Overpass Light" w:hAnsi="Overpass Light"/>
                <w:color w:val="000000"/>
                <w:szCs w:val="18"/>
                <w:shd w:val="clear" w:color="auto" w:fill="FFFFFF"/>
              </w:rPr>
            </w:pPr>
            <w:r>
              <w:rPr>
                <w:rStyle w:val="normaltextrun"/>
                <w:rFonts w:ascii="Overpass Light" w:hAnsi="Overpass Light"/>
                <w:i/>
                <w:iCs/>
                <w:color w:val="000000"/>
                <w:szCs w:val="18"/>
                <w:shd w:val="clear" w:color="auto" w:fill="FFFFFF"/>
              </w:rPr>
              <w:t>“[Updating my legal gender] was the most amazing, wonderful and affirming experience.”</w:t>
            </w:r>
            <w:r>
              <w:rPr>
                <w:rStyle w:val="eop"/>
                <w:rFonts w:ascii="Overpass Light" w:hAnsi="Overpass Light"/>
                <w:color w:val="000000"/>
                <w:szCs w:val="18"/>
                <w:shd w:val="clear" w:color="auto" w:fill="FFFFFF"/>
              </w:rPr>
              <w:t> </w:t>
            </w:r>
            <w:r>
              <w:rPr>
                <w:rStyle w:val="PageNumber"/>
                <w:rFonts w:ascii="Overpass Light" w:hAnsi="Overpass Light"/>
                <w:color w:val="000000"/>
                <w:szCs w:val="18"/>
                <w:shd w:val="clear" w:color="auto" w:fill="FFFFFF"/>
              </w:rPr>
              <w:t xml:space="preserve"> </w:t>
            </w:r>
          </w:p>
          <w:p w14:paraId="3377F9C2" w14:textId="77777777" w:rsidR="00BB67C9" w:rsidRPr="00BE137D" w:rsidRDefault="00BB67C9">
            <w:pPr>
              <w:rPr>
                <w:rStyle w:val="PageNumber"/>
                <w:rFonts w:ascii="Overpass Light" w:hAnsi="Overpass Light"/>
                <w:color w:val="000000"/>
                <w:szCs w:val="18"/>
                <w:shd w:val="clear" w:color="auto" w:fill="FFFFFF"/>
              </w:rPr>
            </w:pPr>
            <w:r>
              <w:rPr>
                <w:rStyle w:val="PageNumber"/>
                <w:rFonts w:ascii="Overpass Light" w:hAnsi="Overpass Light"/>
                <w:color w:val="000000"/>
                <w:szCs w:val="18"/>
                <w:shd w:val="clear" w:color="auto" w:fill="FFFFFF"/>
              </w:rPr>
              <w:t>(Trans man, 25-34</w:t>
            </w:r>
            <w:r w:rsidRPr="00C94E38">
              <w:rPr>
                <w:rStyle w:val="PageNumber"/>
                <w:rFonts w:ascii="Overpass Light" w:hAnsi="Overpass Light"/>
                <w:color w:val="000000"/>
                <w:szCs w:val="18"/>
                <w:shd w:val="clear" w:color="auto" w:fill="FFFFFF"/>
              </w:rPr>
              <w:t xml:space="preserve"> </w:t>
            </w:r>
            <w:r w:rsidRPr="00C94E38">
              <w:rPr>
                <w:rStyle w:val="PageNumber"/>
              </w:rPr>
              <w:t>years</w:t>
            </w:r>
            <w:r>
              <w:rPr>
                <w:rStyle w:val="PageNumber"/>
                <w:rFonts w:ascii="Overpass Light" w:hAnsi="Overpass Light"/>
                <w:color w:val="000000"/>
                <w:szCs w:val="18"/>
                <w:shd w:val="clear" w:color="auto" w:fill="FFFFFF"/>
              </w:rPr>
              <w:t>, Brisbane)</w:t>
            </w:r>
          </w:p>
        </w:tc>
      </w:tr>
    </w:tbl>
    <w:p w14:paraId="255DDA55" w14:textId="6527F120" w:rsidR="00597269" w:rsidRPr="009362CD" w:rsidRDefault="00B27DAF" w:rsidP="005005E6">
      <w:pPr>
        <w:pStyle w:val="Heading1"/>
      </w:pPr>
      <w:bookmarkStart w:id="2" w:name="_Toc124333211"/>
      <w:r>
        <w:t xml:space="preserve">Promoting </w:t>
      </w:r>
      <w:r w:rsidR="00597269">
        <w:t>dignity and respect</w:t>
      </w:r>
      <w:bookmarkEnd w:id="2"/>
    </w:p>
    <w:p w14:paraId="122F1BBC" w14:textId="77777777" w:rsidR="00587682" w:rsidRDefault="00F45E0F" w:rsidP="00657627">
      <w:r w:rsidRPr="009E203D">
        <w:t>Trans and gender diverse people may choose t</w:t>
      </w:r>
      <w:r w:rsidR="003933FE" w:rsidRPr="009E203D">
        <w:t xml:space="preserve">o affirm their gender socially, legally and/or medically. </w:t>
      </w:r>
      <w:r w:rsidR="00F15F23" w:rsidRPr="009E203D">
        <w:t xml:space="preserve">Legal affirmation, such as </w:t>
      </w:r>
      <w:r w:rsidR="009E203D">
        <w:t>updat</w:t>
      </w:r>
      <w:r w:rsidR="00974380">
        <w:t>ing</w:t>
      </w:r>
      <w:r w:rsidR="00F15F23" w:rsidRPr="009E203D">
        <w:t xml:space="preserve"> </w:t>
      </w:r>
      <w:r w:rsidR="00486138">
        <w:t xml:space="preserve">a person’s </w:t>
      </w:r>
      <w:r w:rsidR="00F15F23" w:rsidRPr="009E203D">
        <w:t xml:space="preserve">gender marker on </w:t>
      </w:r>
      <w:r w:rsidR="00486138">
        <w:t xml:space="preserve">their </w:t>
      </w:r>
      <w:r w:rsidR="00F15F23" w:rsidRPr="009E203D">
        <w:t xml:space="preserve">identity documents, </w:t>
      </w:r>
      <w:r w:rsidR="002D5CC6">
        <w:t xml:space="preserve">helps ensure </w:t>
      </w:r>
      <w:r w:rsidR="00A3296C">
        <w:t>trans and gender diverse people</w:t>
      </w:r>
      <w:r w:rsidR="002D5CC6">
        <w:t xml:space="preserve"> are treated with dignity and respect when </w:t>
      </w:r>
      <w:r w:rsidR="00B85A72">
        <w:t>accessing</w:t>
      </w:r>
      <w:r w:rsidR="002D5CC6">
        <w:t xml:space="preserve"> services, </w:t>
      </w:r>
      <w:proofErr w:type="gramStart"/>
      <w:r w:rsidR="002D5CC6">
        <w:t>education</w:t>
      </w:r>
      <w:proofErr w:type="gramEnd"/>
      <w:r w:rsidR="002D5CC6">
        <w:t xml:space="preserve"> or employment opportunities.</w:t>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AD4237" w14:paraId="2AF5E07D" w14:textId="77777777">
        <w:trPr>
          <w:trHeight w:val="821"/>
        </w:trPr>
        <w:tc>
          <w:tcPr>
            <w:tcW w:w="8871" w:type="dxa"/>
            <w:tcMar>
              <w:bottom w:w="142" w:type="dxa"/>
            </w:tcMar>
          </w:tcPr>
          <w:p w14:paraId="3447C33B" w14:textId="77777777" w:rsidR="00AD4237" w:rsidRPr="00A4218C" w:rsidRDefault="00AD4237">
            <w:pPr>
              <w:rPr>
                <w:rStyle w:val="eop"/>
                <w:rFonts w:ascii="Overpass Light" w:hAnsi="Overpass Light"/>
                <w:i/>
                <w:color w:val="000000"/>
                <w:szCs w:val="18"/>
                <w:shd w:val="clear" w:color="auto" w:fill="FFFFFF"/>
              </w:rPr>
            </w:pPr>
            <w:r w:rsidRPr="00A4218C">
              <w:rPr>
                <w:rStyle w:val="normaltextrun"/>
                <w:rFonts w:ascii="Overpass Light" w:hAnsi="Overpass Light"/>
                <w:i/>
                <w:color w:val="000000"/>
                <w:szCs w:val="18"/>
                <w:shd w:val="clear" w:color="auto" w:fill="FFFFFF"/>
              </w:rPr>
              <w:t>“After having my sex reassignment surgery, being able to update my gender marker was one of the best feelings I've had [in] my whole life to reflect the person, the woman I truly am.”</w:t>
            </w:r>
            <w:r w:rsidRPr="00A4218C">
              <w:rPr>
                <w:rStyle w:val="eop"/>
                <w:rFonts w:ascii="Overpass Light" w:hAnsi="Overpass Light"/>
                <w:i/>
                <w:color w:val="000000"/>
                <w:szCs w:val="18"/>
                <w:shd w:val="clear" w:color="auto" w:fill="FFFFFF"/>
              </w:rPr>
              <w:t> </w:t>
            </w:r>
          </w:p>
          <w:p w14:paraId="4019704C" w14:textId="6CA9C708" w:rsidR="00AD4237" w:rsidRPr="00BE137D" w:rsidRDefault="00AD4237">
            <w:pPr>
              <w:rPr>
                <w:rStyle w:val="PageNumber"/>
                <w:rFonts w:ascii="Overpass Light" w:hAnsi="Overpass Light"/>
                <w:color w:val="000000"/>
                <w:szCs w:val="18"/>
                <w:shd w:val="clear" w:color="auto" w:fill="FFFFFF"/>
              </w:rPr>
            </w:pPr>
            <w:r>
              <w:rPr>
                <w:rStyle w:val="PageNumber"/>
                <w:rFonts w:ascii="Overpass Light" w:hAnsi="Overpass Light"/>
                <w:color w:val="000000"/>
                <w:szCs w:val="18"/>
                <w:shd w:val="clear" w:color="auto" w:fill="FFFFFF"/>
              </w:rPr>
              <w:t>(Trans woman, 55-64</w:t>
            </w:r>
            <w:r w:rsidRPr="00C94E38">
              <w:rPr>
                <w:rStyle w:val="PageNumber"/>
                <w:rFonts w:ascii="Overpass Light" w:hAnsi="Overpass Light"/>
                <w:color w:val="000000"/>
                <w:szCs w:val="18"/>
                <w:shd w:val="clear" w:color="auto" w:fill="FFFFFF"/>
              </w:rPr>
              <w:t xml:space="preserve"> </w:t>
            </w:r>
            <w:r w:rsidRPr="00C94E38">
              <w:rPr>
                <w:rStyle w:val="PageNumber"/>
              </w:rPr>
              <w:t>years</w:t>
            </w:r>
            <w:r>
              <w:rPr>
                <w:rStyle w:val="PageNumber"/>
                <w:rFonts w:ascii="Overpass Light" w:hAnsi="Overpass Light"/>
                <w:color w:val="000000"/>
                <w:szCs w:val="18"/>
                <w:shd w:val="clear" w:color="auto" w:fill="FFFFFF"/>
              </w:rPr>
              <w:t>, Cairns)</w:t>
            </w:r>
          </w:p>
        </w:tc>
      </w:tr>
    </w:tbl>
    <w:p w14:paraId="22DB8609" w14:textId="6EC31ABA" w:rsidR="006917CC" w:rsidRDefault="0092158C" w:rsidP="005A005C">
      <w:pPr>
        <w:rPr>
          <w:rStyle w:val="normaltextrun"/>
          <w:rFonts w:ascii="Overpass Light" w:hAnsi="Overpass Light"/>
          <w:color w:val="000000"/>
          <w:szCs w:val="18"/>
          <w:shd w:val="clear" w:color="auto" w:fill="FFFFFF"/>
        </w:rPr>
      </w:pPr>
      <w:r>
        <w:t xml:space="preserve">Discrimination is a major barrier for </w:t>
      </w:r>
      <w:r w:rsidR="0006012E">
        <w:t xml:space="preserve">trans and gender diverse people and leads to high levels of </w:t>
      </w:r>
      <w:r w:rsidR="00B5574A">
        <w:t>unemployment</w:t>
      </w:r>
      <w:r w:rsidR="003B20EF">
        <w:t xml:space="preserve">, </w:t>
      </w:r>
      <w:r w:rsidR="006917CC">
        <w:t>harassment</w:t>
      </w:r>
      <w:r w:rsidR="00841CF1">
        <w:t>,</w:t>
      </w:r>
      <w:r w:rsidR="00B5574A">
        <w:t xml:space="preserve"> and social exclusion.</w:t>
      </w:r>
      <w:r w:rsidR="00B5574A">
        <w:rPr>
          <w:rStyle w:val="FootnoteReference"/>
        </w:rPr>
        <w:footnoteReference w:id="2"/>
      </w:r>
      <w:r w:rsidR="008C6B85">
        <w:t xml:space="preserve"> </w:t>
      </w:r>
      <w:r w:rsidR="00F86E08">
        <w:rPr>
          <w:rStyle w:val="normaltextrun"/>
          <w:rFonts w:ascii="Overpass Light" w:hAnsi="Overpass Light"/>
          <w:color w:val="000000"/>
          <w:szCs w:val="18"/>
          <w:shd w:val="clear" w:color="auto" w:fill="FFFFFF"/>
        </w:rPr>
        <w:t xml:space="preserve">In the largest study of its kind in Australia, </w:t>
      </w:r>
      <w:r w:rsidR="00F86E08">
        <w:rPr>
          <w:rStyle w:val="normaltextrun"/>
          <w:rFonts w:ascii="Overpass Light" w:hAnsi="Overpass Light"/>
          <w:i/>
          <w:iCs/>
          <w:color w:val="000000"/>
          <w:szCs w:val="18"/>
          <w:shd w:val="clear" w:color="auto" w:fill="FFFFFF"/>
        </w:rPr>
        <w:t xml:space="preserve">Private Lives 3 </w:t>
      </w:r>
      <w:r w:rsidR="00F86E08">
        <w:rPr>
          <w:rStyle w:val="normaltextrun"/>
          <w:rFonts w:ascii="Overpass Light" w:hAnsi="Overpass Light"/>
          <w:color w:val="000000"/>
          <w:szCs w:val="18"/>
          <w:shd w:val="clear" w:color="auto" w:fill="FFFFFF"/>
        </w:rPr>
        <w:t>documented the experiences of 6,835 LGBTIQ+ people living in Australia</w:t>
      </w:r>
      <w:r w:rsidR="008377FE">
        <w:rPr>
          <w:rStyle w:val="normaltextrun"/>
          <w:rFonts w:ascii="Overpass Light" w:hAnsi="Overpass Light"/>
          <w:color w:val="000000"/>
          <w:szCs w:val="18"/>
          <w:shd w:val="clear" w:color="auto" w:fill="FFFFFF"/>
        </w:rPr>
        <w:t>, including 1,506 trans and gender diverse people</w:t>
      </w:r>
      <w:r w:rsidR="00F86E08">
        <w:rPr>
          <w:rStyle w:val="normaltextrun"/>
          <w:rFonts w:ascii="Overpass Light" w:hAnsi="Overpass Light"/>
          <w:color w:val="000000"/>
          <w:szCs w:val="18"/>
          <w:shd w:val="clear" w:color="auto" w:fill="FFFFFF"/>
        </w:rPr>
        <w:t>. Among its findings were that:</w:t>
      </w:r>
    </w:p>
    <w:p w14:paraId="4DAEDD84" w14:textId="5572A5FF" w:rsidR="00F86E08" w:rsidRDefault="00F86E08" w:rsidP="00F86E08">
      <w:pPr>
        <w:pStyle w:val="Bullet"/>
        <w:rPr>
          <w:rStyle w:val="superscript"/>
        </w:rPr>
      </w:pPr>
      <w:r>
        <w:rPr>
          <w:rStyle w:val="normaltextrun"/>
          <w:rFonts w:ascii="Overpass Light" w:hAnsi="Overpass Light"/>
          <w:color w:val="000000"/>
          <w:szCs w:val="18"/>
          <w:shd w:val="clear" w:color="auto" w:fill="FFFFFF"/>
        </w:rPr>
        <w:t>3 in 4 trans and gender diverse participants reported being treated unfairly to some degree because of their gender identity in the past 12 months.</w:t>
      </w:r>
      <w:r w:rsidR="00BF4369">
        <w:rPr>
          <w:rStyle w:val="FootnoteReference"/>
          <w:rFonts w:ascii="Overpass Light" w:hAnsi="Overpass Light"/>
          <w:color w:val="000000"/>
          <w:szCs w:val="18"/>
          <w:shd w:val="clear" w:color="auto" w:fill="FFFFFF"/>
        </w:rPr>
        <w:footnoteReference w:id="3"/>
      </w:r>
    </w:p>
    <w:p w14:paraId="39A52DF6" w14:textId="0415B3C1" w:rsidR="003B515E" w:rsidRPr="003B515E" w:rsidRDefault="003B515E" w:rsidP="003B515E">
      <w:pPr>
        <w:pStyle w:val="Bullet"/>
        <w:rPr>
          <w:rStyle w:val="normaltextrun"/>
        </w:rPr>
      </w:pPr>
      <w:r>
        <w:rPr>
          <w:rStyle w:val="normaltextrun"/>
          <w:rFonts w:ascii="Overpass Light" w:hAnsi="Overpass Light"/>
          <w:color w:val="000000"/>
          <w:szCs w:val="18"/>
          <w:shd w:val="clear" w:color="auto" w:fill="FFFFFF"/>
        </w:rPr>
        <w:t>Around 1 in 2 trans and gender diverse people experienced verbal abuse in the past 12 months because of their sexual orientation or gender identity. A slightly higher proportion experienced being socially excluded.</w:t>
      </w:r>
      <w:r>
        <w:rPr>
          <w:rStyle w:val="FootnoteReference"/>
          <w:rFonts w:ascii="Overpass Light" w:hAnsi="Overpass Light"/>
          <w:color w:val="000000"/>
          <w:szCs w:val="18"/>
          <w:shd w:val="clear" w:color="auto" w:fill="FFFFFF"/>
        </w:rPr>
        <w:footnoteReference w:id="4"/>
      </w:r>
    </w:p>
    <w:p w14:paraId="59A2CAC0" w14:textId="1AFB26A1" w:rsidR="00F86E08" w:rsidRPr="007513C7" w:rsidRDefault="007A3267" w:rsidP="00F86E08">
      <w:pPr>
        <w:pStyle w:val="Bullet"/>
        <w:rPr>
          <w:rStyle w:val="normaltextrun"/>
        </w:rPr>
      </w:pPr>
      <w:r>
        <w:rPr>
          <w:rStyle w:val="normaltextrun"/>
          <w:rFonts w:ascii="Overpass Light" w:hAnsi="Overpass Light"/>
          <w:color w:val="000000"/>
          <w:szCs w:val="18"/>
          <w:shd w:val="clear" w:color="auto" w:fill="FFFFFF"/>
        </w:rPr>
        <w:t>Less than 50% of trans and gender diverse respondents felt accepted ‘a lot’ or ‘always’ at work, meaning that over 50% felt more limited acceptance or no acceptance at all. The proportion who felt accepted ‘a lot’ or ‘always’ in health or support services was significantly lower</w:t>
      </w:r>
      <w:r w:rsidR="00F7604B">
        <w:rPr>
          <w:rStyle w:val="normaltextrun"/>
          <w:rFonts w:ascii="Overpass Light" w:hAnsi="Overpass Light"/>
          <w:color w:val="000000"/>
          <w:szCs w:val="18"/>
          <w:shd w:val="clear" w:color="auto" w:fill="FFFFFF"/>
        </w:rPr>
        <w:t xml:space="preserve"> at 46.5% for trans women, 30.1% for trans men and 21.5% for non-binary people.</w:t>
      </w:r>
      <w:r w:rsidR="00A179DD">
        <w:rPr>
          <w:rStyle w:val="FootnoteReference"/>
          <w:rFonts w:ascii="Overpass Light" w:hAnsi="Overpass Light"/>
          <w:color w:val="000000"/>
          <w:szCs w:val="18"/>
          <w:shd w:val="clear" w:color="auto" w:fill="FFFFFF"/>
        </w:rPr>
        <w:footnoteReference w:id="5"/>
      </w:r>
    </w:p>
    <w:p w14:paraId="2E0E9C70" w14:textId="364B23DA" w:rsidR="005A005C" w:rsidRDefault="008C6B85" w:rsidP="005A005C">
      <w:pPr>
        <w:rPr>
          <w:rStyle w:val="normaltextrun"/>
          <w:rFonts w:ascii="Overpass Light" w:hAnsi="Overpass Light"/>
          <w:color w:val="000000"/>
          <w:szCs w:val="18"/>
          <w:shd w:val="clear" w:color="auto" w:fill="FFFFFF"/>
        </w:rPr>
      </w:pPr>
      <w:r>
        <w:rPr>
          <w:rStyle w:val="normaltextrun"/>
          <w:rFonts w:ascii="Overpass Light" w:hAnsi="Overpass Light"/>
          <w:color w:val="000000"/>
          <w:szCs w:val="18"/>
          <w:shd w:val="clear" w:color="auto" w:fill="FFFFFF"/>
        </w:rPr>
        <w:t xml:space="preserve">Having a birth certificate that aligns with a person’s gender allows </w:t>
      </w:r>
      <w:r w:rsidR="00494D1A">
        <w:rPr>
          <w:rStyle w:val="normaltextrun"/>
          <w:rFonts w:ascii="Overpass Light" w:hAnsi="Overpass Light"/>
          <w:color w:val="000000"/>
          <w:szCs w:val="18"/>
          <w:shd w:val="clear" w:color="auto" w:fill="FFFFFF"/>
        </w:rPr>
        <w:t>trans and gender diverse people</w:t>
      </w:r>
      <w:r w:rsidR="005A7E74">
        <w:rPr>
          <w:rStyle w:val="normaltextrun"/>
          <w:rFonts w:ascii="Overpass Light" w:hAnsi="Overpass Light"/>
          <w:color w:val="000000"/>
          <w:szCs w:val="18"/>
          <w:shd w:val="clear" w:color="auto" w:fill="FFFFFF"/>
        </w:rPr>
        <w:t xml:space="preserve"> </w:t>
      </w:r>
      <w:r w:rsidR="00EB2F65">
        <w:rPr>
          <w:rStyle w:val="normaltextrun"/>
          <w:rFonts w:ascii="Overpass Light" w:hAnsi="Overpass Light"/>
          <w:color w:val="000000"/>
          <w:szCs w:val="18"/>
          <w:shd w:val="clear" w:color="auto" w:fill="FFFFFF"/>
        </w:rPr>
        <w:t xml:space="preserve">greater freedom over when and how they </w:t>
      </w:r>
      <w:r w:rsidR="00D21C24">
        <w:rPr>
          <w:rStyle w:val="normaltextrun"/>
          <w:rFonts w:ascii="Overpass Light" w:hAnsi="Overpass Light"/>
          <w:color w:val="000000"/>
          <w:szCs w:val="18"/>
          <w:shd w:val="clear" w:color="auto" w:fill="FFFFFF"/>
        </w:rPr>
        <w:t xml:space="preserve">may choose to disclose </w:t>
      </w:r>
      <w:r w:rsidR="0072607A">
        <w:rPr>
          <w:rStyle w:val="normaltextrun"/>
          <w:rFonts w:ascii="Overpass Light" w:hAnsi="Overpass Light"/>
          <w:color w:val="000000"/>
          <w:szCs w:val="18"/>
          <w:shd w:val="clear" w:color="auto" w:fill="FFFFFF"/>
        </w:rPr>
        <w:t xml:space="preserve">their gender </w:t>
      </w:r>
      <w:r w:rsidR="001918F8">
        <w:rPr>
          <w:rStyle w:val="normaltextrun"/>
          <w:rFonts w:ascii="Overpass Light" w:hAnsi="Overpass Light"/>
          <w:color w:val="000000"/>
          <w:szCs w:val="18"/>
          <w:shd w:val="clear" w:color="auto" w:fill="FFFFFF"/>
        </w:rPr>
        <w:t>experience</w:t>
      </w:r>
      <w:r w:rsidR="00D6359D">
        <w:rPr>
          <w:rStyle w:val="normaltextrun"/>
          <w:rFonts w:ascii="Overpass Light" w:hAnsi="Overpass Light"/>
          <w:color w:val="000000"/>
          <w:szCs w:val="18"/>
          <w:shd w:val="clear" w:color="auto" w:fill="FFFFFF"/>
        </w:rPr>
        <w:t xml:space="preserve">. </w:t>
      </w:r>
      <w:r w:rsidR="00867FA3">
        <w:rPr>
          <w:rStyle w:val="normaltextrun"/>
          <w:rFonts w:ascii="Overpass Light" w:hAnsi="Overpass Light"/>
          <w:color w:val="000000"/>
          <w:szCs w:val="18"/>
          <w:shd w:val="clear" w:color="auto" w:fill="FFFFFF"/>
        </w:rPr>
        <w:t>It means that trans and gender diverse people are not forced to reveal intimate and private details about their bodies and lives</w:t>
      </w:r>
      <w:r w:rsidR="0013362F">
        <w:rPr>
          <w:rStyle w:val="normaltextrun"/>
          <w:rFonts w:ascii="Overpass Light" w:hAnsi="Overpass Light"/>
          <w:color w:val="000000"/>
          <w:szCs w:val="18"/>
          <w:shd w:val="clear" w:color="auto" w:fill="FFFFFF"/>
        </w:rPr>
        <w:t>,</w:t>
      </w:r>
      <w:r w:rsidR="00363FE9">
        <w:rPr>
          <w:rStyle w:val="normaltextrun"/>
          <w:rFonts w:ascii="Overpass Light" w:hAnsi="Overpass Light"/>
          <w:color w:val="000000"/>
          <w:szCs w:val="18"/>
          <w:shd w:val="clear" w:color="auto" w:fill="FFFFFF"/>
        </w:rPr>
        <w:t xml:space="preserve"> </w:t>
      </w:r>
      <w:r w:rsidR="008577B9">
        <w:rPr>
          <w:rStyle w:val="normaltextrun"/>
          <w:rFonts w:ascii="Overpass Light" w:hAnsi="Overpass Light"/>
          <w:color w:val="000000"/>
          <w:szCs w:val="18"/>
          <w:shd w:val="clear" w:color="auto" w:fill="FFFFFF"/>
        </w:rPr>
        <w:t xml:space="preserve">and </w:t>
      </w:r>
      <w:r w:rsidR="000502C4">
        <w:rPr>
          <w:rStyle w:val="normaltextrun"/>
          <w:rFonts w:ascii="Overpass Light" w:hAnsi="Overpass Light"/>
          <w:color w:val="000000"/>
          <w:szCs w:val="18"/>
          <w:shd w:val="clear" w:color="auto" w:fill="FFFFFF"/>
        </w:rPr>
        <w:t>giv</w:t>
      </w:r>
      <w:r w:rsidR="008577B9">
        <w:rPr>
          <w:rStyle w:val="normaltextrun"/>
          <w:rFonts w:ascii="Overpass Light" w:hAnsi="Overpass Light"/>
          <w:color w:val="000000"/>
          <w:szCs w:val="18"/>
          <w:shd w:val="clear" w:color="auto" w:fill="FFFFFF"/>
        </w:rPr>
        <w:t>es</w:t>
      </w:r>
      <w:r w:rsidR="000502C4">
        <w:rPr>
          <w:rStyle w:val="normaltextrun"/>
          <w:rFonts w:ascii="Overpass Light" w:hAnsi="Overpass Light"/>
          <w:color w:val="000000"/>
          <w:szCs w:val="18"/>
          <w:shd w:val="clear" w:color="auto" w:fill="FFFFFF"/>
        </w:rPr>
        <w:t xml:space="preserve"> power </w:t>
      </w:r>
      <w:r w:rsidR="000502C4">
        <w:rPr>
          <w:rStyle w:val="normaltextrun"/>
          <w:rFonts w:ascii="Overpass Light" w:hAnsi="Overpass Light"/>
          <w:color w:val="000000"/>
          <w:szCs w:val="18"/>
          <w:shd w:val="clear" w:color="auto" w:fill="FFFFFF"/>
        </w:rPr>
        <w:lastRenderedPageBreak/>
        <w:t xml:space="preserve">back to people </w:t>
      </w:r>
      <w:r w:rsidR="00D82AE0">
        <w:rPr>
          <w:rStyle w:val="normaltextrun"/>
          <w:rFonts w:ascii="Overpass Light" w:hAnsi="Overpass Light"/>
          <w:color w:val="000000"/>
          <w:szCs w:val="18"/>
          <w:shd w:val="clear" w:color="auto" w:fill="FFFFFF"/>
        </w:rPr>
        <w:t>who might suffer discrimination</w:t>
      </w:r>
      <w:r w:rsidR="0013362F">
        <w:rPr>
          <w:rStyle w:val="normaltextrun"/>
          <w:rFonts w:ascii="Overpass Light" w:hAnsi="Overpass Light"/>
          <w:color w:val="000000"/>
          <w:szCs w:val="18"/>
          <w:shd w:val="clear" w:color="auto" w:fill="FFFFFF"/>
        </w:rPr>
        <w:t xml:space="preserve"> from forced disclosures</w:t>
      </w:r>
      <w:r w:rsidR="00D82AE0">
        <w:rPr>
          <w:rStyle w:val="normaltextrun"/>
          <w:rFonts w:ascii="Overpass Light" w:hAnsi="Overpass Light"/>
          <w:color w:val="000000"/>
          <w:szCs w:val="18"/>
          <w:shd w:val="clear" w:color="auto" w:fill="FFFFFF"/>
        </w:rPr>
        <w:t xml:space="preserve">. </w:t>
      </w:r>
      <w:r w:rsidR="001328DC">
        <w:rPr>
          <w:rStyle w:val="normaltextrun"/>
          <w:rFonts w:ascii="Overpass Light" w:hAnsi="Overpass Light"/>
          <w:color w:val="000000"/>
          <w:szCs w:val="18"/>
          <w:shd w:val="clear" w:color="auto" w:fill="FFFFFF"/>
        </w:rPr>
        <w:t xml:space="preserve">It also sends a strong message about the need to </w:t>
      </w:r>
      <w:r w:rsidR="00203939">
        <w:rPr>
          <w:rStyle w:val="normaltextrun"/>
          <w:rFonts w:ascii="Overpass Light" w:hAnsi="Overpass Light"/>
          <w:color w:val="000000"/>
          <w:szCs w:val="18"/>
          <w:shd w:val="clear" w:color="auto" w:fill="FFFFFF"/>
        </w:rPr>
        <w:t xml:space="preserve">treat trans and gender diverse people with dignity and respect, affirming </w:t>
      </w:r>
      <w:r w:rsidR="00B4299C">
        <w:rPr>
          <w:rStyle w:val="normaltextrun"/>
          <w:rFonts w:ascii="Overpass Light" w:hAnsi="Overpass Light"/>
          <w:color w:val="000000"/>
          <w:szCs w:val="18"/>
          <w:shd w:val="clear" w:color="auto" w:fill="FFFFFF"/>
        </w:rPr>
        <w:t>people</w:t>
      </w:r>
      <w:r w:rsidR="00203939">
        <w:rPr>
          <w:rStyle w:val="normaltextrun"/>
          <w:rFonts w:ascii="Overpass Light" w:hAnsi="Overpass Light"/>
          <w:color w:val="000000"/>
          <w:szCs w:val="18"/>
          <w:shd w:val="clear" w:color="auto" w:fill="FFFFFF"/>
        </w:rPr>
        <w:t xml:space="preserve"> for who they are</w:t>
      </w:r>
      <w:r w:rsidR="00EF05C9">
        <w:rPr>
          <w:rStyle w:val="normaltextrun"/>
          <w:rFonts w:ascii="Overpass Light" w:hAnsi="Overpass Light"/>
          <w:color w:val="000000"/>
          <w:szCs w:val="18"/>
          <w:shd w:val="clear" w:color="auto" w:fill="FFFFFF"/>
        </w:rPr>
        <w:t>.</w:t>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A879F8" w14:paraId="4FEE76C6" w14:textId="77777777">
        <w:trPr>
          <w:trHeight w:val="821"/>
        </w:trPr>
        <w:tc>
          <w:tcPr>
            <w:tcW w:w="8871" w:type="dxa"/>
            <w:tcMar>
              <w:bottom w:w="142" w:type="dxa"/>
            </w:tcMar>
          </w:tcPr>
          <w:p w14:paraId="1EA5ED18" w14:textId="77777777" w:rsidR="0056745B" w:rsidRDefault="00D95599">
            <w:pPr>
              <w:rPr>
                <w:rStyle w:val="normaltextrun"/>
                <w:rFonts w:ascii="Overpass Light" w:hAnsi="Overpass Light"/>
                <w:i/>
                <w:color w:val="000000"/>
                <w:szCs w:val="18"/>
                <w:shd w:val="clear" w:color="auto" w:fill="FFFFFF"/>
              </w:rPr>
            </w:pPr>
            <w:r>
              <w:rPr>
                <w:rStyle w:val="normaltextrun"/>
                <w:rFonts w:ascii="Overpass Light" w:hAnsi="Overpass Light"/>
                <w:i/>
                <w:color w:val="000000"/>
                <w:szCs w:val="18"/>
                <w:shd w:val="clear" w:color="auto" w:fill="FFFFFF"/>
              </w:rPr>
              <w:t>“</w:t>
            </w:r>
            <w:r w:rsidRPr="00D95599">
              <w:rPr>
                <w:rStyle w:val="normaltextrun"/>
                <w:rFonts w:ascii="Overpass Light" w:hAnsi="Overpass Light"/>
                <w:i/>
                <w:color w:val="000000"/>
                <w:szCs w:val="18"/>
                <w:shd w:val="clear" w:color="auto" w:fill="FFFFFF"/>
              </w:rPr>
              <w:t xml:space="preserve">Having to </w:t>
            </w:r>
            <w:r>
              <w:rPr>
                <w:rStyle w:val="normaltextrun"/>
                <w:rFonts w:ascii="Overpass Light" w:hAnsi="Overpass Light"/>
                <w:i/>
                <w:color w:val="000000"/>
                <w:szCs w:val="18"/>
                <w:shd w:val="clear" w:color="auto" w:fill="FFFFFF"/>
              </w:rPr>
              <w:t>[disclose my</w:t>
            </w:r>
            <w:r w:rsidRPr="00D95599">
              <w:rPr>
                <w:rStyle w:val="normaltextrun"/>
                <w:rFonts w:ascii="Overpass Light" w:hAnsi="Overpass Light"/>
                <w:i/>
                <w:color w:val="000000"/>
                <w:szCs w:val="18"/>
                <w:shd w:val="clear" w:color="auto" w:fill="FFFFFF"/>
              </w:rPr>
              <w:t xml:space="preserve"> </w:t>
            </w:r>
            <w:r w:rsidR="0056745B">
              <w:rPr>
                <w:rStyle w:val="normaltextrun"/>
                <w:rFonts w:ascii="Overpass Light" w:hAnsi="Overpass Light"/>
                <w:i/>
                <w:color w:val="000000"/>
                <w:szCs w:val="18"/>
                <w:shd w:val="clear" w:color="auto" w:fill="FFFFFF"/>
              </w:rPr>
              <w:t>gender experience]</w:t>
            </w:r>
            <w:r w:rsidRPr="00D95599">
              <w:rPr>
                <w:rStyle w:val="normaltextrun"/>
                <w:rFonts w:ascii="Overpass Light" w:hAnsi="Overpass Light"/>
                <w:i/>
                <w:color w:val="000000"/>
                <w:szCs w:val="18"/>
                <w:shd w:val="clear" w:color="auto" w:fill="FFFFFF"/>
              </w:rPr>
              <w:t xml:space="preserve"> to an unknown number of office workers each time I need an official document issued feels the same as if I had to stand naked in front of them. It's very unpleasant. </w:t>
            </w:r>
          </w:p>
          <w:p w14:paraId="6BD11A65" w14:textId="354F6062" w:rsidR="00A879F8" w:rsidRPr="00BE137D" w:rsidRDefault="00A879F8">
            <w:pPr>
              <w:rPr>
                <w:rStyle w:val="PageNumber"/>
                <w:rFonts w:ascii="Overpass Light" w:hAnsi="Overpass Light"/>
                <w:color w:val="000000"/>
                <w:szCs w:val="18"/>
                <w:shd w:val="clear" w:color="auto" w:fill="FFFFFF"/>
              </w:rPr>
            </w:pPr>
            <w:r>
              <w:rPr>
                <w:rStyle w:val="PageNumber"/>
                <w:rFonts w:ascii="Overpass Light" w:hAnsi="Overpass Light"/>
                <w:color w:val="000000"/>
                <w:szCs w:val="18"/>
                <w:shd w:val="clear" w:color="auto" w:fill="FFFFFF"/>
              </w:rPr>
              <w:t xml:space="preserve">(Trans </w:t>
            </w:r>
            <w:r w:rsidR="00027D1D">
              <w:rPr>
                <w:rStyle w:val="PageNumber"/>
                <w:rFonts w:ascii="Overpass Light" w:hAnsi="Overpass Light"/>
                <w:color w:val="000000"/>
                <w:szCs w:val="18"/>
                <w:shd w:val="clear" w:color="auto" w:fill="FFFFFF"/>
              </w:rPr>
              <w:t>man</w:t>
            </w:r>
            <w:r>
              <w:rPr>
                <w:rStyle w:val="PageNumber"/>
                <w:rFonts w:ascii="Overpass Light" w:hAnsi="Overpass Light"/>
                <w:color w:val="000000"/>
                <w:szCs w:val="18"/>
                <w:shd w:val="clear" w:color="auto" w:fill="FFFFFF"/>
              </w:rPr>
              <w:t xml:space="preserve">, </w:t>
            </w:r>
            <w:r w:rsidR="005D1226">
              <w:rPr>
                <w:rStyle w:val="PageNumber"/>
                <w:rFonts w:ascii="Overpass Light" w:hAnsi="Overpass Light"/>
                <w:color w:val="000000"/>
                <w:szCs w:val="18"/>
                <w:shd w:val="clear" w:color="auto" w:fill="FFFFFF"/>
              </w:rPr>
              <w:t>45</w:t>
            </w:r>
            <w:r>
              <w:rPr>
                <w:rStyle w:val="PageNumber"/>
                <w:rFonts w:ascii="Overpass Light" w:hAnsi="Overpass Light"/>
                <w:color w:val="000000"/>
                <w:szCs w:val="18"/>
                <w:shd w:val="clear" w:color="auto" w:fill="FFFFFF"/>
              </w:rPr>
              <w:t>-</w:t>
            </w:r>
            <w:r w:rsidR="005D1226">
              <w:rPr>
                <w:rStyle w:val="PageNumber"/>
                <w:rFonts w:ascii="Overpass Light" w:hAnsi="Overpass Light"/>
                <w:color w:val="000000"/>
                <w:szCs w:val="18"/>
                <w:shd w:val="clear" w:color="auto" w:fill="FFFFFF"/>
              </w:rPr>
              <w:t>54</w:t>
            </w:r>
            <w:r w:rsidRPr="00C94E38">
              <w:rPr>
                <w:rStyle w:val="PageNumber"/>
                <w:rFonts w:ascii="Overpass Light" w:hAnsi="Overpass Light"/>
                <w:color w:val="000000"/>
                <w:szCs w:val="18"/>
                <w:shd w:val="clear" w:color="auto" w:fill="FFFFFF"/>
              </w:rPr>
              <w:t xml:space="preserve"> </w:t>
            </w:r>
            <w:r w:rsidRPr="00C94E38">
              <w:rPr>
                <w:rStyle w:val="PageNumber"/>
              </w:rPr>
              <w:t>years</w:t>
            </w:r>
            <w:r>
              <w:rPr>
                <w:rStyle w:val="PageNumber"/>
                <w:rFonts w:ascii="Overpass Light" w:hAnsi="Overpass Light"/>
                <w:color w:val="000000"/>
                <w:szCs w:val="18"/>
                <w:shd w:val="clear" w:color="auto" w:fill="FFFFFF"/>
              </w:rPr>
              <w:t xml:space="preserve">, </w:t>
            </w:r>
            <w:r w:rsidR="00F40068">
              <w:rPr>
                <w:rStyle w:val="PageNumber"/>
                <w:rFonts w:ascii="Overpass Light" w:hAnsi="Overpass Light"/>
                <w:color w:val="000000"/>
                <w:szCs w:val="18"/>
                <w:shd w:val="clear" w:color="auto" w:fill="FFFFFF"/>
              </w:rPr>
              <w:t>Brisbane</w:t>
            </w:r>
            <w:r>
              <w:rPr>
                <w:rStyle w:val="PageNumber"/>
                <w:rFonts w:ascii="Overpass Light" w:hAnsi="Overpass Light"/>
                <w:color w:val="000000"/>
                <w:szCs w:val="18"/>
                <w:shd w:val="clear" w:color="auto" w:fill="FFFFFF"/>
              </w:rPr>
              <w:t>)</w:t>
            </w:r>
          </w:p>
        </w:tc>
      </w:tr>
    </w:tbl>
    <w:p w14:paraId="4054BE3E" w14:textId="5D1B3959" w:rsidR="00C63FDB" w:rsidRDefault="00EF05C9" w:rsidP="005A005C">
      <w:pPr>
        <w:rPr>
          <w:rStyle w:val="normaltextrun"/>
          <w:rFonts w:ascii="Overpass Light" w:hAnsi="Overpass Light"/>
          <w:color w:val="000000"/>
          <w:szCs w:val="18"/>
          <w:shd w:val="clear" w:color="auto" w:fill="FFFFFF"/>
        </w:rPr>
      </w:pPr>
      <w:r>
        <w:rPr>
          <w:rStyle w:val="normaltextrun"/>
          <w:rFonts w:ascii="Overpass Light" w:hAnsi="Overpass Light"/>
          <w:color w:val="000000"/>
          <w:szCs w:val="18"/>
          <w:shd w:val="clear" w:color="auto" w:fill="FFFFFF"/>
        </w:rPr>
        <w:t>It is not surprising then that a</w:t>
      </w:r>
      <w:r w:rsidR="00C63FDB">
        <w:rPr>
          <w:rStyle w:val="normaltextrun"/>
          <w:rFonts w:ascii="Overpass Light" w:hAnsi="Overpass Light"/>
          <w:color w:val="000000"/>
          <w:szCs w:val="18"/>
          <w:shd w:val="clear" w:color="auto" w:fill="FFFFFF"/>
        </w:rPr>
        <w:t xml:space="preserve">ccess to gender affirming identification has been found to improve the </w:t>
      </w:r>
      <w:r w:rsidR="008577B9">
        <w:rPr>
          <w:rStyle w:val="normaltextrun"/>
          <w:rFonts w:ascii="Overpass Light" w:hAnsi="Overpass Light"/>
          <w:color w:val="000000"/>
          <w:szCs w:val="18"/>
          <w:shd w:val="clear" w:color="auto" w:fill="FFFFFF"/>
        </w:rPr>
        <w:t xml:space="preserve">mental </w:t>
      </w:r>
      <w:r w:rsidR="00C63FDB">
        <w:rPr>
          <w:rStyle w:val="normaltextrun"/>
          <w:rFonts w:ascii="Overpass Light" w:hAnsi="Overpass Light"/>
          <w:color w:val="000000"/>
          <w:szCs w:val="18"/>
          <w:shd w:val="clear" w:color="auto" w:fill="FFFFFF"/>
        </w:rPr>
        <w:t>health and wellbeing of trans and gender diverse people.</w:t>
      </w:r>
      <w:r w:rsidR="00C63FDB">
        <w:rPr>
          <w:rStyle w:val="FootnoteReference"/>
          <w:rFonts w:ascii="Overpass Light" w:hAnsi="Overpass Light"/>
          <w:color w:val="000000"/>
          <w:szCs w:val="18"/>
          <w:shd w:val="clear" w:color="auto" w:fill="FFFFFF"/>
        </w:rPr>
        <w:footnoteReference w:id="6"/>
      </w:r>
      <w:r w:rsidR="00C63FDB">
        <w:rPr>
          <w:rStyle w:val="normaltextrun"/>
          <w:rFonts w:ascii="Overpass Light" w:hAnsi="Overpass Light"/>
          <w:color w:val="000000"/>
          <w:szCs w:val="18"/>
          <w:shd w:val="clear" w:color="auto" w:fill="FFFFFF"/>
        </w:rPr>
        <w:t xml:space="preserve"> </w:t>
      </w:r>
    </w:p>
    <w:p w14:paraId="1FD6FFC2" w14:textId="5EBA60DD" w:rsidR="00ED1C92" w:rsidRDefault="00C63FDB" w:rsidP="005A005C">
      <w:r>
        <w:t>The High Court has recognised that t</w:t>
      </w:r>
      <w:r w:rsidRPr="00587682">
        <w:t>he purpose of legislative schemes that allow people to update their</w:t>
      </w:r>
      <w:r w:rsidR="00FC3AAE">
        <w:t xml:space="preserve"> legal</w:t>
      </w:r>
      <w:r w:rsidRPr="00587682">
        <w:t xml:space="preserve"> gender </w:t>
      </w:r>
      <w:r>
        <w:t>is to remove</w:t>
      </w:r>
      <w:r w:rsidRPr="00587682">
        <w:t xml:space="preserve"> impediments </w:t>
      </w:r>
      <w:r w:rsidR="002B1788">
        <w:t>in</w:t>
      </w:r>
      <w:r w:rsidRPr="00587682">
        <w:t xml:space="preserve"> the way in which a person lives within society</w:t>
      </w:r>
      <w:r>
        <w:t xml:space="preserve"> and to facilitate the social acceptance of a person in their affirmed </w:t>
      </w:r>
      <w:r w:rsidRPr="00B5574A">
        <w:t>gender.</w:t>
      </w:r>
      <w:r w:rsidRPr="00B5574A">
        <w:rPr>
          <w:rStyle w:val="FootnoteReference"/>
        </w:rPr>
        <w:footnoteReference w:id="7"/>
      </w:r>
      <w:r>
        <w:t xml:space="preserve"> </w:t>
      </w:r>
    </w:p>
    <w:p w14:paraId="1C4D7709" w14:textId="05E39428" w:rsidR="0034797B" w:rsidRPr="00FB439C" w:rsidRDefault="00C63FDB" w:rsidP="0034797B">
      <w:pPr>
        <w:rPr>
          <w:rFonts w:ascii="Overpass Light" w:hAnsi="Overpass Light"/>
          <w:color w:val="000000"/>
          <w:szCs w:val="18"/>
          <w:shd w:val="clear" w:color="auto" w:fill="FFFFFF"/>
        </w:rPr>
      </w:pPr>
      <w:r>
        <w:t xml:space="preserve">The Bill </w:t>
      </w:r>
      <w:r w:rsidR="00101B7F">
        <w:t>significant</w:t>
      </w:r>
      <w:r w:rsidR="00ED307E">
        <w:t>ly</w:t>
      </w:r>
      <w:r w:rsidR="00101B7F">
        <w:t xml:space="preserve"> </w:t>
      </w:r>
      <w:r>
        <w:t>achieves these objectives.</w:t>
      </w:r>
      <w:r w:rsidR="00ED1C92">
        <w:rPr>
          <w:rStyle w:val="normaltextrun"/>
          <w:rFonts w:ascii="Overpass Light" w:hAnsi="Overpass Light"/>
          <w:color w:val="000000"/>
          <w:szCs w:val="18"/>
          <w:shd w:val="clear" w:color="auto" w:fill="FFFFFF"/>
        </w:rPr>
        <w:t xml:space="preserve"> It</w:t>
      </w:r>
      <w:r w:rsidR="0027239D">
        <w:rPr>
          <w:rStyle w:val="normaltextrun"/>
          <w:rFonts w:ascii="Overpass Light" w:hAnsi="Overpass Light"/>
          <w:color w:val="000000"/>
          <w:szCs w:val="18"/>
          <w:shd w:val="clear" w:color="auto" w:fill="FFFFFF"/>
        </w:rPr>
        <w:t xml:space="preserve"> removes the requirement for </w:t>
      </w:r>
      <w:r w:rsidR="00AC589B">
        <w:rPr>
          <w:rStyle w:val="normaltextrun"/>
          <w:rFonts w:ascii="Overpass Light" w:hAnsi="Overpass Light"/>
          <w:color w:val="000000"/>
          <w:szCs w:val="18"/>
          <w:shd w:val="clear" w:color="auto" w:fill="FFFFFF"/>
        </w:rPr>
        <w:t>a person to undergo surgery or medical treatment before updating their legal gender</w:t>
      </w:r>
      <w:r w:rsidR="008361E7">
        <w:rPr>
          <w:rStyle w:val="normaltextrun"/>
          <w:rFonts w:ascii="Overpass Light" w:hAnsi="Overpass Light"/>
          <w:color w:val="000000"/>
          <w:szCs w:val="18"/>
          <w:shd w:val="clear" w:color="auto" w:fill="FFFFFF"/>
        </w:rPr>
        <w:t xml:space="preserve"> and</w:t>
      </w:r>
      <w:r w:rsidR="00D73F80">
        <w:rPr>
          <w:rStyle w:val="normaltextrun"/>
          <w:rFonts w:ascii="Overpass Light" w:hAnsi="Overpass Light"/>
          <w:color w:val="000000"/>
          <w:szCs w:val="18"/>
          <w:shd w:val="clear" w:color="auto" w:fill="FFFFFF"/>
        </w:rPr>
        <w:t xml:space="preserve"> allows </w:t>
      </w:r>
      <w:r w:rsidR="0007062B">
        <w:rPr>
          <w:rStyle w:val="normaltextrun"/>
          <w:rFonts w:ascii="Overpass Light" w:hAnsi="Overpass Light"/>
          <w:color w:val="000000"/>
          <w:szCs w:val="18"/>
          <w:shd w:val="clear" w:color="auto" w:fill="FFFFFF"/>
        </w:rPr>
        <w:t xml:space="preserve">people to nominate a gender descriptor that best reflects their gender. </w:t>
      </w:r>
      <w:r w:rsidR="008361E7">
        <w:rPr>
          <w:rStyle w:val="normaltextrun"/>
          <w:rFonts w:ascii="Overpass Light" w:hAnsi="Overpass Light"/>
          <w:color w:val="000000"/>
          <w:szCs w:val="18"/>
          <w:shd w:val="clear" w:color="auto" w:fill="FFFFFF"/>
        </w:rPr>
        <w:t xml:space="preserve">The Bill also allows </w:t>
      </w:r>
      <w:r w:rsidR="00E92AAA">
        <w:rPr>
          <w:rStyle w:val="normaltextrun"/>
          <w:rFonts w:ascii="Overpass Light" w:hAnsi="Overpass Light"/>
          <w:color w:val="000000"/>
          <w:szCs w:val="18"/>
          <w:shd w:val="clear" w:color="auto" w:fill="FFFFFF"/>
        </w:rPr>
        <w:t>Queenslanders who were born elsewhere with identification that legally affirms their gender in Queensland</w:t>
      </w:r>
      <w:r w:rsidR="00187578">
        <w:rPr>
          <w:rStyle w:val="normaltextrun"/>
          <w:rFonts w:ascii="Overpass Light" w:hAnsi="Overpass Light"/>
          <w:color w:val="000000"/>
          <w:szCs w:val="18"/>
          <w:shd w:val="clear" w:color="auto" w:fill="FFFFFF"/>
        </w:rPr>
        <w:t xml:space="preserve"> </w:t>
      </w:r>
      <w:r w:rsidR="00C909E9">
        <w:rPr>
          <w:rStyle w:val="normaltextrun"/>
          <w:rFonts w:ascii="Overpass Light" w:hAnsi="Overpass Light"/>
          <w:color w:val="000000"/>
          <w:szCs w:val="18"/>
          <w:shd w:val="clear" w:color="auto" w:fill="FFFFFF"/>
        </w:rPr>
        <w:t>as well as</w:t>
      </w:r>
      <w:r w:rsidR="00187578">
        <w:rPr>
          <w:rStyle w:val="normaltextrun"/>
          <w:rFonts w:ascii="Overpass Light" w:hAnsi="Overpass Light"/>
          <w:color w:val="000000"/>
          <w:szCs w:val="18"/>
          <w:shd w:val="clear" w:color="auto" w:fill="FFFFFF"/>
        </w:rPr>
        <w:t xml:space="preserve"> streamlin</w:t>
      </w:r>
      <w:r w:rsidR="00C909E9">
        <w:rPr>
          <w:rStyle w:val="normaltextrun"/>
          <w:rFonts w:ascii="Overpass Light" w:hAnsi="Overpass Light"/>
          <w:color w:val="000000"/>
          <w:szCs w:val="18"/>
          <w:shd w:val="clear" w:color="auto" w:fill="FFFFFF"/>
        </w:rPr>
        <w:t>ing</w:t>
      </w:r>
      <w:r w:rsidR="00187578">
        <w:rPr>
          <w:rStyle w:val="normaltextrun"/>
          <w:rFonts w:ascii="Overpass Light" w:hAnsi="Overpass Light"/>
          <w:color w:val="000000"/>
          <w:szCs w:val="18"/>
          <w:shd w:val="clear" w:color="auto" w:fill="FFFFFF"/>
        </w:rPr>
        <w:t xml:space="preserve"> the process for people to update their name alongside their gender. </w:t>
      </w:r>
    </w:p>
    <w:p w14:paraId="38547513" w14:textId="25DF8F5F" w:rsidR="0034797B" w:rsidRDefault="00B27DAF" w:rsidP="00ED307E">
      <w:pPr>
        <w:pStyle w:val="Heading1"/>
      </w:pPr>
      <w:bookmarkStart w:id="3" w:name="_Toc124333212"/>
      <w:r>
        <w:t>Removing existing barriers</w:t>
      </w:r>
      <w:bookmarkEnd w:id="3"/>
    </w:p>
    <w:p w14:paraId="44BF9889" w14:textId="77777777" w:rsidR="007E7148" w:rsidRDefault="00F2149C" w:rsidP="002E463C">
      <w:r>
        <w:t xml:space="preserve">The current </w:t>
      </w:r>
      <w:r w:rsidR="00B235BC">
        <w:t xml:space="preserve">requirements for a person to update their legal gender in Queensland are </w:t>
      </w:r>
      <w:r w:rsidR="00D33350">
        <w:t xml:space="preserve">outdated and do not meet the needs of the trans and gender diverse community. </w:t>
      </w:r>
    </w:p>
    <w:p w14:paraId="1C77BF2D" w14:textId="1BEBEBBE" w:rsidR="0034797B" w:rsidRDefault="00D33350" w:rsidP="002E463C">
      <w:r>
        <w:t xml:space="preserve">A 2021 survey of </w:t>
      </w:r>
      <w:r w:rsidR="00E51884">
        <w:t xml:space="preserve">54 trans and gender diverse people born in Queensland </w:t>
      </w:r>
      <w:r>
        <w:t xml:space="preserve">by Equality </w:t>
      </w:r>
      <w:r w:rsidR="00E51884">
        <w:t xml:space="preserve">Australia found that only 5% had been able </w:t>
      </w:r>
      <w:r w:rsidR="001B7552">
        <w:t xml:space="preserve">to update their gender under existing laws and more than 80% of those who had not </w:t>
      </w:r>
      <w:r w:rsidR="006470B4">
        <w:t xml:space="preserve">changed their gender marker would do so if reforms like those in this Bill were passed. </w:t>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3B10E8" w14:paraId="42EE884A" w14:textId="77777777">
        <w:trPr>
          <w:trHeight w:val="821"/>
        </w:trPr>
        <w:tc>
          <w:tcPr>
            <w:tcW w:w="8871" w:type="dxa"/>
            <w:tcMar>
              <w:bottom w:w="142" w:type="dxa"/>
            </w:tcMar>
          </w:tcPr>
          <w:p w14:paraId="5FD50256" w14:textId="21359137" w:rsidR="003B10E8" w:rsidRDefault="003B10E8">
            <w:pPr>
              <w:rPr>
                <w:rStyle w:val="normaltextrun"/>
                <w:rFonts w:ascii="Overpass Light" w:hAnsi="Overpass Light"/>
                <w:i/>
                <w:color w:val="000000"/>
                <w:szCs w:val="18"/>
                <w:shd w:val="clear" w:color="auto" w:fill="FFFFFF"/>
              </w:rPr>
            </w:pPr>
            <w:r w:rsidRPr="003B10E8">
              <w:rPr>
                <w:rStyle w:val="normaltextrun"/>
                <w:rFonts w:ascii="Overpass Light" w:hAnsi="Overpass Light"/>
                <w:i/>
                <w:color w:val="000000"/>
                <w:szCs w:val="18"/>
                <w:shd w:val="clear" w:color="auto" w:fill="FFFFFF"/>
              </w:rPr>
              <w:t xml:space="preserve">Because of my birth certificate, I can't obtain any photo ID at all, because I have no other primary identification. This means I also can't even legally prove my age, and that I cannot apply for higher education or a job. All have a severe impact on my quality of life. </w:t>
            </w:r>
          </w:p>
          <w:p w14:paraId="3C19C02E" w14:textId="697CABF9" w:rsidR="003B10E8" w:rsidRPr="00BE137D" w:rsidRDefault="003B10E8">
            <w:pPr>
              <w:rPr>
                <w:rStyle w:val="PageNumber"/>
                <w:rFonts w:ascii="Overpass Light" w:hAnsi="Overpass Light"/>
                <w:color w:val="000000"/>
                <w:szCs w:val="18"/>
                <w:shd w:val="clear" w:color="auto" w:fill="FFFFFF"/>
              </w:rPr>
            </w:pPr>
            <w:r>
              <w:rPr>
                <w:rStyle w:val="PageNumber"/>
                <w:rFonts w:ascii="Overpass Light" w:hAnsi="Overpass Light"/>
                <w:color w:val="000000"/>
                <w:szCs w:val="18"/>
                <w:shd w:val="clear" w:color="auto" w:fill="FFFFFF"/>
              </w:rPr>
              <w:t xml:space="preserve">(Trans man, </w:t>
            </w:r>
            <w:r w:rsidR="00D71FCA">
              <w:rPr>
                <w:rStyle w:val="PageNumber"/>
                <w:rFonts w:ascii="Overpass Light" w:hAnsi="Overpass Light"/>
                <w:color w:val="000000"/>
                <w:szCs w:val="18"/>
                <w:shd w:val="clear" w:color="auto" w:fill="FFFFFF"/>
              </w:rPr>
              <w:t>25-34</w:t>
            </w:r>
            <w:r w:rsidRPr="00C94E38">
              <w:rPr>
                <w:rStyle w:val="PageNumber"/>
                <w:rFonts w:ascii="Overpass Light" w:hAnsi="Overpass Light"/>
                <w:color w:val="000000"/>
                <w:szCs w:val="18"/>
                <w:shd w:val="clear" w:color="auto" w:fill="FFFFFF"/>
              </w:rPr>
              <w:t xml:space="preserve"> </w:t>
            </w:r>
            <w:r w:rsidRPr="00C94E38">
              <w:rPr>
                <w:rStyle w:val="PageNumber"/>
              </w:rPr>
              <w:t>years</w:t>
            </w:r>
            <w:r>
              <w:rPr>
                <w:rStyle w:val="PageNumber"/>
                <w:rFonts w:ascii="Overpass Light" w:hAnsi="Overpass Light"/>
                <w:color w:val="000000"/>
                <w:szCs w:val="18"/>
                <w:shd w:val="clear" w:color="auto" w:fill="FFFFFF"/>
              </w:rPr>
              <w:t xml:space="preserve">, </w:t>
            </w:r>
            <w:r w:rsidR="00CD3325">
              <w:rPr>
                <w:rStyle w:val="PageNumber"/>
                <w:rFonts w:ascii="Overpass Light" w:hAnsi="Overpass Light"/>
                <w:color w:val="000000"/>
                <w:szCs w:val="18"/>
                <w:shd w:val="clear" w:color="auto" w:fill="FFFFFF"/>
              </w:rPr>
              <w:t>Gold Coast</w:t>
            </w:r>
            <w:r>
              <w:rPr>
                <w:rStyle w:val="PageNumber"/>
                <w:rFonts w:ascii="Overpass Light" w:hAnsi="Overpass Light"/>
                <w:color w:val="000000"/>
                <w:szCs w:val="18"/>
                <w:shd w:val="clear" w:color="auto" w:fill="FFFFFF"/>
              </w:rPr>
              <w:t>)</w:t>
            </w:r>
          </w:p>
        </w:tc>
      </w:tr>
    </w:tbl>
    <w:p w14:paraId="3C90ACCA" w14:textId="073B0363" w:rsidR="006470B4" w:rsidRPr="002E463C" w:rsidRDefault="00597269" w:rsidP="00ED307E">
      <w:pPr>
        <w:pStyle w:val="Intro"/>
      </w:pPr>
      <w:r>
        <w:t>Removing t</w:t>
      </w:r>
      <w:r w:rsidRPr="002E463C">
        <w:t xml:space="preserve">he </w:t>
      </w:r>
      <w:r w:rsidR="00F76731" w:rsidRPr="002E463C">
        <w:t>requirement for surgery</w:t>
      </w:r>
    </w:p>
    <w:p w14:paraId="1A16216A" w14:textId="5E0CA6EA" w:rsidR="00F9279F" w:rsidRDefault="00F9279F" w:rsidP="00F76731">
      <w:r>
        <w:t>Choosing not to undergo medical affirmation should not be a barrier to recognising a person for who they are.</w:t>
      </w:r>
    </w:p>
    <w:p w14:paraId="7688BBA6" w14:textId="566C76CB" w:rsidR="00F76731" w:rsidRDefault="00005399" w:rsidP="00F76731">
      <w:r>
        <w:t xml:space="preserve">Under existing laws, trans and gender diverse Queenslanders are required to </w:t>
      </w:r>
      <w:r w:rsidR="00B13BF5">
        <w:t xml:space="preserve">undergo surgery on their reproductive organs </w:t>
      </w:r>
      <w:r w:rsidR="00252E69">
        <w:t xml:space="preserve">and </w:t>
      </w:r>
      <w:r w:rsidR="00401F53">
        <w:t xml:space="preserve">have that surgery verified by two doctors </w:t>
      </w:r>
      <w:r w:rsidR="00D164C2">
        <w:t>before they can apply to update their legal gender.</w:t>
      </w:r>
      <w:r w:rsidR="00D164C2">
        <w:rPr>
          <w:rStyle w:val="FootnoteReference"/>
        </w:rPr>
        <w:footnoteReference w:id="8"/>
      </w:r>
      <w:r w:rsidR="00752348">
        <w:t xml:space="preserve"> </w:t>
      </w:r>
      <w:r w:rsidR="009C33B9">
        <w:t>This is a cruel and unnecessary requirement</w:t>
      </w:r>
      <w:r w:rsidR="00525DFD">
        <w:t>.</w:t>
      </w:r>
      <w:r w:rsidR="009C33B9">
        <w:t xml:space="preserve"> </w:t>
      </w:r>
      <w:r w:rsidR="00525DFD">
        <w:t>Not all trans people want, or are able</w:t>
      </w:r>
      <w:r w:rsidR="00E872CB">
        <w:t xml:space="preserve">, to have surgery, whether due to cost, availability, or health reasons. </w:t>
      </w:r>
    </w:p>
    <w:p w14:paraId="5D37B8EA" w14:textId="7713C24B" w:rsidR="006C75A6" w:rsidRPr="002E463C" w:rsidRDefault="00597269" w:rsidP="00ED307E">
      <w:pPr>
        <w:pStyle w:val="Intro"/>
      </w:pPr>
      <w:r>
        <w:t>Non-binary recognition</w:t>
      </w:r>
    </w:p>
    <w:p w14:paraId="611A6A46" w14:textId="76A4B7E9" w:rsidR="00B864A7" w:rsidRDefault="006E18CE" w:rsidP="00F76731">
      <w:r>
        <w:t xml:space="preserve">People who do not identify as either male or female, </w:t>
      </w:r>
      <w:r w:rsidR="005337E5">
        <w:t>such as those who identify as non-binary,</w:t>
      </w:r>
      <w:r>
        <w:t xml:space="preserve"> should be able to access identification documents that reflect their identity. </w:t>
      </w:r>
    </w:p>
    <w:p w14:paraId="1012FC96" w14:textId="0CBB6EE1" w:rsidR="00E51642" w:rsidRDefault="00187578" w:rsidP="00F76731">
      <w:r>
        <w:lastRenderedPageBreak/>
        <w:t xml:space="preserve">Currently, </w:t>
      </w:r>
      <w:r w:rsidR="00C6109C">
        <w:t>Queensland provides no form of non-binary gender recognition. P</w:t>
      </w:r>
      <w:r>
        <w:t>eople</w:t>
      </w:r>
      <w:r w:rsidR="000324A7">
        <w:t xml:space="preserve"> seeking to update their gender </w:t>
      </w:r>
      <w:r w:rsidR="003B64D7">
        <w:t xml:space="preserve">must select either male or female and </w:t>
      </w:r>
      <w:r w:rsidR="000324A7">
        <w:t>cannot nominate a gender descriptor</w:t>
      </w:r>
      <w:r>
        <w:t xml:space="preserve"> of their choice</w:t>
      </w:r>
      <w:r w:rsidR="003B64D7">
        <w:t xml:space="preserve">. </w:t>
      </w:r>
      <w:r w:rsidR="00B864A7">
        <w:t xml:space="preserve">This means that many </w:t>
      </w:r>
      <w:proofErr w:type="gramStart"/>
      <w:r w:rsidR="00B864A7">
        <w:t>gender</w:t>
      </w:r>
      <w:proofErr w:type="gramEnd"/>
      <w:r w:rsidR="00B864A7">
        <w:t xml:space="preserve"> diverse people cannot access identification that </w:t>
      </w:r>
      <w:r w:rsidR="006E18CE">
        <w:t>recognises them for who they are</w:t>
      </w:r>
      <w:r w:rsidR="00B864A7">
        <w:t>.</w:t>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37412D" w14:paraId="13593457" w14:textId="77777777">
        <w:trPr>
          <w:trHeight w:val="821"/>
        </w:trPr>
        <w:tc>
          <w:tcPr>
            <w:tcW w:w="8871" w:type="dxa"/>
            <w:tcMar>
              <w:bottom w:w="142" w:type="dxa"/>
            </w:tcMar>
          </w:tcPr>
          <w:p w14:paraId="0B0EB3FD" w14:textId="2C2E9EDF" w:rsidR="0037412D" w:rsidRDefault="0037412D">
            <w:pPr>
              <w:rPr>
                <w:rStyle w:val="PageNumber"/>
                <w:rFonts w:ascii="Overpass Light" w:hAnsi="Overpass Light"/>
                <w:color w:val="000000"/>
                <w:szCs w:val="18"/>
                <w:shd w:val="clear" w:color="auto" w:fill="FFFFFF"/>
              </w:rPr>
            </w:pPr>
            <w:r>
              <w:rPr>
                <w:rStyle w:val="normaltextrun"/>
                <w:rFonts w:ascii="Overpass Light" w:hAnsi="Overpass Light"/>
                <w:i/>
                <w:iCs/>
                <w:color w:val="000000"/>
                <w:szCs w:val="18"/>
                <w:shd w:val="clear" w:color="auto" w:fill="FFFFFF"/>
              </w:rPr>
              <w:t>“</w:t>
            </w:r>
            <w:r w:rsidR="00682ECB">
              <w:rPr>
                <w:rStyle w:val="normaltextrun"/>
                <w:rFonts w:ascii="Overpass Light" w:hAnsi="Overpass Light"/>
                <w:i/>
                <w:iCs/>
                <w:color w:val="000000"/>
                <w:szCs w:val="18"/>
                <w:shd w:val="clear" w:color="auto" w:fill="FFFFFF"/>
              </w:rPr>
              <w:t xml:space="preserve">I define myself as gender </w:t>
            </w:r>
            <w:r w:rsidR="008A398F">
              <w:rPr>
                <w:rStyle w:val="normaltextrun"/>
                <w:rFonts w:ascii="Overpass Light" w:hAnsi="Overpass Light"/>
                <w:i/>
                <w:iCs/>
                <w:color w:val="000000"/>
                <w:szCs w:val="18"/>
                <w:shd w:val="clear" w:color="auto" w:fill="FFFFFF"/>
              </w:rPr>
              <w:t>fluid and this is n</w:t>
            </w:r>
            <w:r w:rsidR="002B2030">
              <w:rPr>
                <w:rStyle w:val="normaltextrun"/>
                <w:rFonts w:ascii="Overpass Light" w:hAnsi="Overpass Light"/>
                <w:i/>
                <w:iCs/>
                <w:color w:val="000000"/>
                <w:szCs w:val="18"/>
                <w:shd w:val="clear" w:color="auto" w:fill="FFFFFF"/>
              </w:rPr>
              <w:t xml:space="preserve">ot a gender option </w:t>
            </w:r>
            <w:r w:rsidR="00FF7B61">
              <w:rPr>
                <w:rStyle w:val="normaltextrun"/>
                <w:rFonts w:ascii="Overpass Light" w:hAnsi="Overpass Light"/>
                <w:i/>
                <w:iCs/>
                <w:color w:val="000000"/>
                <w:szCs w:val="18"/>
                <w:shd w:val="clear" w:color="auto" w:fill="FFFFFF"/>
              </w:rPr>
              <w:t>available for my birth certificate.</w:t>
            </w:r>
            <w:r>
              <w:rPr>
                <w:rStyle w:val="normaltextrun"/>
                <w:rFonts w:ascii="Overpass Light" w:hAnsi="Overpass Light"/>
                <w:i/>
                <w:iCs/>
                <w:color w:val="000000"/>
                <w:szCs w:val="18"/>
                <w:shd w:val="clear" w:color="auto" w:fill="FFFFFF"/>
              </w:rPr>
              <w:t>”</w:t>
            </w:r>
            <w:r>
              <w:rPr>
                <w:rStyle w:val="eop"/>
                <w:rFonts w:ascii="Overpass Light" w:hAnsi="Overpass Light"/>
                <w:color w:val="000000"/>
                <w:szCs w:val="18"/>
                <w:shd w:val="clear" w:color="auto" w:fill="FFFFFF"/>
              </w:rPr>
              <w:t> </w:t>
            </w:r>
            <w:r>
              <w:rPr>
                <w:rStyle w:val="PageNumber"/>
                <w:rFonts w:ascii="Overpass Light" w:hAnsi="Overpass Light"/>
                <w:color w:val="000000"/>
                <w:szCs w:val="18"/>
                <w:shd w:val="clear" w:color="auto" w:fill="FFFFFF"/>
              </w:rPr>
              <w:t xml:space="preserve"> </w:t>
            </w:r>
          </w:p>
          <w:p w14:paraId="4E1B9613" w14:textId="6C550375" w:rsidR="0037412D" w:rsidRPr="00BE137D" w:rsidRDefault="0037412D">
            <w:pPr>
              <w:rPr>
                <w:rStyle w:val="PageNumber"/>
                <w:rFonts w:ascii="Overpass Light" w:hAnsi="Overpass Light"/>
                <w:color w:val="000000"/>
                <w:szCs w:val="18"/>
                <w:shd w:val="clear" w:color="auto" w:fill="FFFFFF"/>
              </w:rPr>
            </w:pPr>
            <w:r>
              <w:rPr>
                <w:rStyle w:val="PageNumber"/>
                <w:rFonts w:ascii="Overpass Light" w:hAnsi="Overpass Light"/>
                <w:color w:val="000000"/>
                <w:szCs w:val="18"/>
                <w:shd w:val="clear" w:color="auto" w:fill="FFFFFF"/>
              </w:rPr>
              <w:t>(</w:t>
            </w:r>
            <w:r w:rsidR="009D4080">
              <w:rPr>
                <w:rStyle w:val="PageNumber"/>
                <w:rFonts w:ascii="Overpass Light" w:hAnsi="Overpass Light"/>
                <w:color w:val="000000"/>
                <w:szCs w:val="18"/>
                <w:shd w:val="clear" w:color="auto" w:fill="FFFFFF"/>
              </w:rPr>
              <w:t>N</w:t>
            </w:r>
            <w:r w:rsidR="009D4080">
              <w:rPr>
                <w:rStyle w:val="PageNumber"/>
              </w:rPr>
              <w:t>on-binary person</w:t>
            </w:r>
            <w:r>
              <w:rPr>
                <w:rStyle w:val="PageNumber"/>
                <w:rFonts w:ascii="Overpass Light" w:hAnsi="Overpass Light"/>
                <w:color w:val="000000"/>
                <w:szCs w:val="18"/>
                <w:shd w:val="clear" w:color="auto" w:fill="FFFFFF"/>
              </w:rPr>
              <w:t>, 25-34</w:t>
            </w:r>
            <w:r w:rsidRPr="00C94E38">
              <w:rPr>
                <w:rStyle w:val="PageNumber"/>
                <w:rFonts w:ascii="Overpass Light" w:hAnsi="Overpass Light"/>
                <w:color w:val="000000"/>
                <w:szCs w:val="18"/>
                <w:shd w:val="clear" w:color="auto" w:fill="FFFFFF"/>
              </w:rPr>
              <w:t xml:space="preserve"> </w:t>
            </w:r>
            <w:r w:rsidRPr="00C94E38">
              <w:rPr>
                <w:rStyle w:val="PageNumber"/>
              </w:rPr>
              <w:t>years</w:t>
            </w:r>
            <w:r>
              <w:rPr>
                <w:rStyle w:val="PageNumber"/>
                <w:rFonts w:ascii="Overpass Light" w:hAnsi="Overpass Light"/>
                <w:color w:val="000000"/>
                <w:szCs w:val="18"/>
                <w:shd w:val="clear" w:color="auto" w:fill="FFFFFF"/>
              </w:rPr>
              <w:t xml:space="preserve">, </w:t>
            </w:r>
            <w:r w:rsidR="002D67CE">
              <w:rPr>
                <w:rStyle w:val="PageNumber"/>
                <w:rFonts w:ascii="Overpass Light" w:hAnsi="Overpass Light"/>
                <w:color w:val="000000"/>
                <w:szCs w:val="18"/>
                <w:shd w:val="clear" w:color="auto" w:fill="FFFFFF"/>
              </w:rPr>
              <w:t>Q</w:t>
            </w:r>
            <w:r w:rsidR="002D67CE">
              <w:rPr>
                <w:rStyle w:val="PageNumber"/>
              </w:rPr>
              <w:t>ueensland</w:t>
            </w:r>
            <w:r>
              <w:rPr>
                <w:rStyle w:val="PageNumber"/>
                <w:rFonts w:ascii="Overpass Light" w:hAnsi="Overpass Light"/>
                <w:color w:val="000000"/>
                <w:szCs w:val="18"/>
                <w:shd w:val="clear" w:color="auto" w:fill="FFFFFF"/>
              </w:rPr>
              <w:t>)</w:t>
            </w:r>
          </w:p>
        </w:tc>
      </w:tr>
    </w:tbl>
    <w:p w14:paraId="55AF7B5F" w14:textId="4FF137E4" w:rsidR="00E51642" w:rsidRDefault="000025FF" w:rsidP="00ED307E">
      <w:pPr>
        <w:pStyle w:val="Heading1"/>
      </w:pPr>
      <w:bookmarkStart w:id="4" w:name="_Toc124333213"/>
      <w:r>
        <w:t>B</w:t>
      </w:r>
      <w:r w:rsidR="00E51642">
        <w:t xml:space="preserve">ringing </w:t>
      </w:r>
      <w:r w:rsidR="00BE6669">
        <w:t>Q</w:t>
      </w:r>
      <w:r w:rsidR="00E51642">
        <w:t xml:space="preserve">ueensland into </w:t>
      </w:r>
      <w:r w:rsidR="00597269">
        <w:t xml:space="preserve">line </w:t>
      </w:r>
      <w:r w:rsidR="00EF5D3D">
        <w:t>with other jurisdictions</w:t>
      </w:r>
      <w:bookmarkEnd w:id="4"/>
    </w:p>
    <w:p w14:paraId="16862ACC" w14:textId="092B4CE4" w:rsidR="00FC0886" w:rsidRPr="00A7670F" w:rsidRDefault="009206CF" w:rsidP="00A7670F">
      <w:pPr>
        <w:pStyle w:val="Intro"/>
      </w:pPr>
      <w:r w:rsidRPr="00A7670F">
        <w:t xml:space="preserve">The </w:t>
      </w:r>
      <w:r w:rsidR="00365317" w:rsidRPr="00A7670F">
        <w:t>change</w:t>
      </w:r>
      <w:r w:rsidR="00334F77" w:rsidRPr="00A7670F">
        <w:t>s</w:t>
      </w:r>
      <w:r w:rsidR="00365317" w:rsidRPr="00A7670F">
        <w:t xml:space="preserve"> proposed in the </w:t>
      </w:r>
      <w:r w:rsidR="00A27AA8" w:rsidRPr="00A7670F">
        <w:t xml:space="preserve">Bill would </w:t>
      </w:r>
      <w:r w:rsidR="00FC0886" w:rsidRPr="00A7670F">
        <w:t>make</w:t>
      </w:r>
      <w:r w:rsidR="00A27AA8" w:rsidRPr="00A7670F">
        <w:t xml:space="preserve"> Queensland </w:t>
      </w:r>
      <w:r w:rsidR="00FC0886" w:rsidRPr="00A7670F">
        <w:t>law consistent with laws in most other states and territories</w:t>
      </w:r>
      <w:r w:rsidR="00541738">
        <w:t xml:space="preserve"> </w:t>
      </w:r>
      <w:r w:rsidR="000160D2">
        <w:t>and bring Queensland into line with federal law</w:t>
      </w:r>
      <w:r w:rsidR="00594643">
        <w:t>s and practices</w:t>
      </w:r>
      <w:r w:rsidR="00FC0886" w:rsidRPr="00A7670F">
        <w:t xml:space="preserve">. </w:t>
      </w:r>
    </w:p>
    <w:p w14:paraId="2CAB9C0B" w14:textId="508C8D8C" w:rsidR="009C3BB5" w:rsidRDefault="00FC0886" w:rsidP="009C3BB5">
      <w:r>
        <w:t xml:space="preserve">Every state </w:t>
      </w:r>
      <w:r w:rsidR="00C6109C">
        <w:t>and territory</w:t>
      </w:r>
      <w:r w:rsidR="00E22E2B">
        <w:t xml:space="preserve"> except for New South Wales </w:t>
      </w:r>
      <w:proofErr w:type="gramStart"/>
      <w:r w:rsidR="00E22E2B">
        <w:t>has</w:t>
      </w:r>
      <w:proofErr w:type="gramEnd"/>
      <w:r w:rsidR="00E22E2B">
        <w:t xml:space="preserve"> removed the requirement for surgery on a person’s reproductive </w:t>
      </w:r>
      <w:r w:rsidR="001977F7">
        <w:t xml:space="preserve">organs. Western Australia </w:t>
      </w:r>
      <w:r w:rsidR="00DC4A4C">
        <w:t xml:space="preserve">requires some form of medical </w:t>
      </w:r>
      <w:r w:rsidR="00C6109C">
        <w:t>treatment but</w:t>
      </w:r>
      <w:r w:rsidR="00DC4A4C">
        <w:t xml:space="preserve"> does not require surgery.</w:t>
      </w:r>
      <w:r w:rsidR="00DC4A4C">
        <w:rPr>
          <w:rStyle w:val="FootnoteReference"/>
        </w:rPr>
        <w:footnoteReference w:id="9"/>
      </w:r>
      <w:r w:rsidR="00960ABB">
        <w:t xml:space="preserve"> Federal laws </w:t>
      </w:r>
      <w:r w:rsidR="00C50A11">
        <w:t>also</w:t>
      </w:r>
      <w:r w:rsidR="00960ABB">
        <w:t xml:space="preserve"> allow trans and gender diverse people to update their gender on their passport</w:t>
      </w:r>
      <w:r w:rsidR="00C50A11">
        <w:t>,</w:t>
      </w:r>
      <w:r w:rsidR="00950A90">
        <w:t xml:space="preserve"> and </w:t>
      </w:r>
      <w:r w:rsidR="005B7D93">
        <w:t>with services like Medicare and Centrelink</w:t>
      </w:r>
      <w:r w:rsidR="00C50A11">
        <w:t>,</w:t>
      </w:r>
      <w:r w:rsidR="005B7D93">
        <w:t xml:space="preserve"> without the need for surgery.</w:t>
      </w:r>
      <w:r w:rsidR="004E7C45">
        <w:rPr>
          <w:rStyle w:val="FootnoteReference"/>
        </w:rPr>
        <w:footnoteReference w:id="10"/>
      </w:r>
    </w:p>
    <w:p w14:paraId="20008F23" w14:textId="4940E268" w:rsidR="00C6109C" w:rsidRDefault="003F25A1" w:rsidP="009C3BB5">
      <w:r>
        <w:t xml:space="preserve">By </w:t>
      </w:r>
      <w:r w:rsidR="004E6D7C">
        <w:t xml:space="preserve">allowing people to nominate a gender descriptor that reflects their identity, Queensland </w:t>
      </w:r>
      <w:r w:rsidR="00EE4339">
        <w:t xml:space="preserve">law </w:t>
      </w:r>
      <w:r w:rsidR="004E6D7C">
        <w:t xml:space="preserve">will be consistent with </w:t>
      </w:r>
      <w:r w:rsidR="00AD673D">
        <w:t>laws in</w:t>
      </w:r>
      <w:r w:rsidR="004E6D7C">
        <w:t xml:space="preserve"> Tasmania and Vi</w:t>
      </w:r>
      <w:r w:rsidR="00760AA4">
        <w:t>c</w:t>
      </w:r>
      <w:r w:rsidR="004E6D7C">
        <w:t>toria</w:t>
      </w:r>
      <w:r w:rsidR="005F2BB5">
        <w:t>,</w:t>
      </w:r>
      <w:r w:rsidR="00760AA4">
        <w:rPr>
          <w:rStyle w:val="FootnoteReference"/>
        </w:rPr>
        <w:footnoteReference w:id="11"/>
      </w:r>
      <w:r w:rsidR="005F2BB5">
        <w:t xml:space="preserve"> and move</w:t>
      </w:r>
      <w:r w:rsidR="00095430">
        <w:t>s</w:t>
      </w:r>
      <w:r w:rsidR="005F2BB5">
        <w:t xml:space="preserve"> in the</w:t>
      </w:r>
      <w:r w:rsidR="00095430">
        <w:t xml:space="preserve"> same</w:t>
      </w:r>
      <w:r w:rsidR="005F2BB5">
        <w:t xml:space="preserve"> direction</w:t>
      </w:r>
      <w:r w:rsidR="00095430">
        <w:t xml:space="preserve"> as </w:t>
      </w:r>
      <w:r w:rsidR="00AD673D">
        <w:t xml:space="preserve">the Commonwealth and </w:t>
      </w:r>
      <w:r w:rsidR="00095430">
        <w:t>every other state and territory</w:t>
      </w:r>
      <w:r w:rsidR="00AD673D">
        <w:t xml:space="preserve"> apart from Western Australia which now </w:t>
      </w:r>
      <w:r w:rsidR="00F66B02">
        <w:t xml:space="preserve">provide </w:t>
      </w:r>
      <w:r w:rsidR="00AD673D">
        <w:t>for some form of non-binary gender recognition.</w:t>
      </w:r>
      <w:r w:rsidR="004E6D7C">
        <w:t xml:space="preserve"> </w:t>
      </w:r>
      <w:r w:rsidR="00DE081A">
        <w:t>For example, the Commonwealth allows people to nominate an ‘X’ gender marker on their passport.</w:t>
      </w:r>
    </w:p>
    <w:p w14:paraId="01DB5D8B" w14:textId="60B22B09" w:rsidR="00FB5091" w:rsidRDefault="00EB123B" w:rsidP="009C3BB5">
      <w:r>
        <w:t>Like other states and territories, t</w:t>
      </w:r>
      <w:r w:rsidR="00C938E4">
        <w:t xml:space="preserve">he Bill also adopts </w:t>
      </w:r>
      <w:proofErr w:type="gramStart"/>
      <w:r w:rsidR="00C938E4">
        <w:t>a number of</w:t>
      </w:r>
      <w:proofErr w:type="gramEnd"/>
      <w:r w:rsidR="00C938E4">
        <w:t xml:space="preserve"> safeguards </w:t>
      </w:r>
      <w:r w:rsidR="002B1B58">
        <w:t xml:space="preserve">to protect the integrity of the </w:t>
      </w:r>
      <w:r w:rsidR="00960E6E">
        <w:t>system and ensure it is used for the purpose it was intended. Among those safeguards are:</w:t>
      </w:r>
    </w:p>
    <w:p w14:paraId="42A51C9A" w14:textId="715E0E35" w:rsidR="00960E6E" w:rsidRPr="0088626B" w:rsidRDefault="007E30E8" w:rsidP="00960E6E">
      <w:pPr>
        <w:pStyle w:val="Bullet"/>
        <w:rPr>
          <w:rStyle w:val="eop"/>
          <w:rFonts w:ascii="Overpass Light" w:hAnsi="Overpass Light"/>
          <w:color w:val="000000"/>
          <w:szCs w:val="18"/>
          <w:shd w:val="clear" w:color="auto" w:fill="FFFFFF"/>
        </w:rPr>
      </w:pPr>
      <w:r>
        <w:rPr>
          <w:rStyle w:val="eop"/>
          <w:rFonts w:ascii="Overpass Light" w:hAnsi="Overpass Light"/>
          <w:color w:val="000000"/>
          <w:szCs w:val="18"/>
          <w:shd w:val="clear" w:color="auto" w:fill="FFFFFF"/>
        </w:rPr>
        <w:t xml:space="preserve">The </w:t>
      </w:r>
      <w:r w:rsidR="00960E6E" w:rsidRPr="0088626B">
        <w:rPr>
          <w:rStyle w:val="eop"/>
          <w:rFonts w:ascii="Overpass Light" w:hAnsi="Overpass Light"/>
          <w:color w:val="000000"/>
          <w:szCs w:val="18"/>
          <w:shd w:val="clear" w:color="auto" w:fill="FFFFFF"/>
        </w:rPr>
        <w:t xml:space="preserve">requirement </w:t>
      </w:r>
      <w:r>
        <w:rPr>
          <w:rStyle w:val="eop"/>
          <w:rFonts w:ascii="Overpass Light" w:hAnsi="Overpass Light"/>
          <w:color w:val="000000"/>
          <w:szCs w:val="18"/>
          <w:shd w:val="clear" w:color="auto" w:fill="FFFFFF"/>
        </w:rPr>
        <w:t>that</w:t>
      </w:r>
      <w:r w:rsidR="00313D00" w:rsidRPr="0088626B">
        <w:rPr>
          <w:rStyle w:val="eop"/>
          <w:rFonts w:ascii="Overpass Light" w:hAnsi="Overpass Light"/>
          <w:color w:val="000000"/>
          <w:szCs w:val="18"/>
          <w:shd w:val="clear" w:color="auto" w:fill="FFFFFF"/>
        </w:rPr>
        <w:t xml:space="preserve"> a</w:t>
      </w:r>
      <w:r>
        <w:rPr>
          <w:rStyle w:val="eop"/>
          <w:rFonts w:ascii="Overpass Light" w:hAnsi="Overpass Light"/>
          <w:color w:val="000000"/>
          <w:szCs w:val="18"/>
          <w:shd w:val="clear" w:color="auto" w:fill="FFFFFF"/>
        </w:rPr>
        <w:t xml:space="preserve"> supporting</w:t>
      </w:r>
      <w:r w:rsidR="00313D00" w:rsidRPr="0088626B">
        <w:rPr>
          <w:rStyle w:val="eop"/>
          <w:rFonts w:ascii="Overpass Light" w:hAnsi="Overpass Light"/>
          <w:color w:val="000000"/>
          <w:szCs w:val="18"/>
          <w:shd w:val="clear" w:color="auto" w:fill="FFFFFF"/>
        </w:rPr>
        <w:t xml:space="preserve"> </w:t>
      </w:r>
      <w:r w:rsidR="00EB123B" w:rsidRPr="0088626B">
        <w:rPr>
          <w:rStyle w:val="eop"/>
          <w:rFonts w:ascii="Overpass Light" w:hAnsi="Overpass Light"/>
          <w:color w:val="000000"/>
          <w:szCs w:val="18"/>
          <w:shd w:val="clear" w:color="auto" w:fill="FFFFFF"/>
        </w:rPr>
        <w:t xml:space="preserve">statement </w:t>
      </w:r>
      <w:r>
        <w:rPr>
          <w:rStyle w:val="eop"/>
          <w:rFonts w:ascii="Overpass Light" w:hAnsi="Overpass Light"/>
          <w:color w:val="000000"/>
          <w:szCs w:val="18"/>
          <w:shd w:val="clear" w:color="auto" w:fill="FFFFFF"/>
        </w:rPr>
        <w:t xml:space="preserve">be made by a person who is at least 18 years </w:t>
      </w:r>
      <w:r w:rsidR="00F22CCF">
        <w:rPr>
          <w:rStyle w:val="eop"/>
          <w:rFonts w:ascii="Overpass Light" w:hAnsi="Overpass Light"/>
          <w:color w:val="000000"/>
          <w:szCs w:val="18"/>
          <w:shd w:val="clear" w:color="auto" w:fill="FFFFFF"/>
        </w:rPr>
        <w:t>and who has known the person making the application for at least 12 months.</w:t>
      </w:r>
      <w:r w:rsidR="00F22CCF">
        <w:rPr>
          <w:rStyle w:val="FootnoteReference"/>
          <w:rFonts w:ascii="Overpass Light" w:hAnsi="Overpass Light"/>
          <w:color w:val="000000"/>
          <w:szCs w:val="18"/>
          <w:shd w:val="clear" w:color="auto" w:fill="FFFFFF"/>
        </w:rPr>
        <w:footnoteReference w:id="12"/>
      </w:r>
    </w:p>
    <w:p w14:paraId="3EBB7E3C" w14:textId="0BF6AB53" w:rsidR="00960E6E" w:rsidRPr="00BC75E1" w:rsidRDefault="00BC75E1" w:rsidP="00960E6E">
      <w:pPr>
        <w:pStyle w:val="Bullet"/>
        <w:rPr>
          <w:rStyle w:val="eop"/>
          <w:rFonts w:ascii="Overpass Light" w:hAnsi="Overpass Light"/>
          <w:color w:val="000000"/>
          <w:szCs w:val="18"/>
          <w:shd w:val="clear" w:color="auto" w:fill="FFFFFF"/>
        </w:rPr>
      </w:pPr>
      <w:r>
        <w:rPr>
          <w:rStyle w:val="eop"/>
          <w:rFonts w:ascii="Overpass Light" w:hAnsi="Overpass Light"/>
          <w:color w:val="000000"/>
          <w:szCs w:val="18"/>
          <w:shd w:val="clear" w:color="auto" w:fill="FFFFFF"/>
        </w:rPr>
        <w:t xml:space="preserve">The </w:t>
      </w:r>
      <w:r w:rsidR="000D2752">
        <w:rPr>
          <w:rStyle w:val="eop"/>
          <w:rFonts w:ascii="Overpass Light" w:hAnsi="Overpass Light"/>
          <w:color w:val="000000"/>
          <w:szCs w:val="18"/>
          <w:shd w:val="clear" w:color="auto" w:fill="FFFFFF"/>
        </w:rPr>
        <w:t>requirement</w:t>
      </w:r>
      <w:r>
        <w:rPr>
          <w:rStyle w:val="eop"/>
          <w:rFonts w:ascii="Overpass Light" w:hAnsi="Overpass Light"/>
          <w:color w:val="000000"/>
          <w:szCs w:val="18"/>
          <w:shd w:val="clear" w:color="auto" w:fill="FFFFFF"/>
        </w:rPr>
        <w:t xml:space="preserve"> for the registrar </w:t>
      </w:r>
      <w:r w:rsidR="00960E6E" w:rsidRPr="00BC75E1">
        <w:rPr>
          <w:rStyle w:val="eop"/>
          <w:rFonts w:ascii="Overpass Light" w:hAnsi="Overpass Light"/>
          <w:color w:val="000000"/>
          <w:szCs w:val="18"/>
          <w:shd w:val="clear" w:color="auto" w:fill="FFFFFF"/>
        </w:rPr>
        <w:t xml:space="preserve">to refuse </w:t>
      </w:r>
      <w:r w:rsidR="000D2752">
        <w:rPr>
          <w:rStyle w:val="eop"/>
          <w:rFonts w:ascii="Overpass Light" w:hAnsi="Overpass Light"/>
          <w:color w:val="000000"/>
          <w:szCs w:val="18"/>
          <w:shd w:val="clear" w:color="auto" w:fill="FFFFFF"/>
        </w:rPr>
        <w:t xml:space="preserve">to </w:t>
      </w:r>
      <w:r w:rsidR="0071307F">
        <w:rPr>
          <w:rStyle w:val="eop"/>
          <w:rFonts w:ascii="Overpass Light" w:hAnsi="Overpass Light"/>
          <w:color w:val="000000"/>
          <w:szCs w:val="18"/>
          <w:shd w:val="clear" w:color="auto" w:fill="FFFFFF"/>
        </w:rPr>
        <w:t>update</w:t>
      </w:r>
      <w:r w:rsidR="000D2752">
        <w:rPr>
          <w:rStyle w:val="eop"/>
          <w:rFonts w:ascii="Overpass Light" w:hAnsi="Overpass Light"/>
          <w:color w:val="000000"/>
          <w:szCs w:val="18"/>
          <w:shd w:val="clear" w:color="auto" w:fill="FFFFFF"/>
        </w:rPr>
        <w:t xml:space="preserve"> a person’s </w:t>
      </w:r>
      <w:r w:rsidR="0071307F">
        <w:rPr>
          <w:rStyle w:val="eop"/>
          <w:rFonts w:ascii="Overpass Light" w:hAnsi="Overpass Light"/>
          <w:color w:val="000000"/>
          <w:szCs w:val="18"/>
          <w:shd w:val="clear" w:color="auto" w:fill="FFFFFF"/>
        </w:rPr>
        <w:t>gender</w:t>
      </w:r>
      <w:r w:rsidR="000D2752">
        <w:rPr>
          <w:rStyle w:val="eop"/>
          <w:rFonts w:ascii="Overpass Light" w:hAnsi="Overpass Light"/>
          <w:color w:val="000000"/>
          <w:szCs w:val="18"/>
          <w:shd w:val="clear" w:color="auto" w:fill="FFFFFF"/>
        </w:rPr>
        <w:t xml:space="preserve"> if </w:t>
      </w:r>
      <w:r w:rsidR="001E2A80">
        <w:rPr>
          <w:rStyle w:val="eop"/>
          <w:rFonts w:ascii="Overpass Light" w:hAnsi="Overpass Light"/>
          <w:color w:val="000000"/>
          <w:szCs w:val="18"/>
          <w:shd w:val="clear" w:color="auto" w:fill="FFFFFF"/>
        </w:rPr>
        <w:t xml:space="preserve">they </w:t>
      </w:r>
      <w:r w:rsidR="00453148">
        <w:rPr>
          <w:rStyle w:val="eop"/>
          <w:rFonts w:ascii="Overpass Light" w:hAnsi="Overpass Light"/>
          <w:color w:val="000000"/>
          <w:szCs w:val="18"/>
          <w:shd w:val="clear" w:color="auto" w:fill="FFFFFF"/>
        </w:rPr>
        <w:t xml:space="preserve">reasonably suspect that the </w:t>
      </w:r>
      <w:r w:rsidR="0071307F">
        <w:rPr>
          <w:rStyle w:val="eop"/>
          <w:rFonts w:ascii="Overpass Light" w:hAnsi="Overpass Light"/>
          <w:color w:val="000000"/>
          <w:szCs w:val="18"/>
          <w:shd w:val="clear" w:color="auto" w:fill="FFFFFF"/>
        </w:rPr>
        <w:t>update</w:t>
      </w:r>
      <w:r w:rsidR="00453148">
        <w:rPr>
          <w:rStyle w:val="eop"/>
          <w:rFonts w:ascii="Overpass Light" w:hAnsi="Overpass Light"/>
          <w:color w:val="000000"/>
          <w:szCs w:val="18"/>
          <w:shd w:val="clear" w:color="auto" w:fill="FFFFFF"/>
        </w:rPr>
        <w:t xml:space="preserve"> is sought for a fraudulent or other improper purpose.</w:t>
      </w:r>
      <w:r w:rsidR="00453148">
        <w:rPr>
          <w:rStyle w:val="FootnoteReference"/>
          <w:rFonts w:ascii="Overpass Light" w:hAnsi="Overpass Light"/>
          <w:color w:val="000000"/>
          <w:szCs w:val="18"/>
          <w:shd w:val="clear" w:color="auto" w:fill="FFFFFF"/>
        </w:rPr>
        <w:footnoteReference w:id="13"/>
      </w:r>
    </w:p>
    <w:p w14:paraId="4D8E6347" w14:textId="04C72C65" w:rsidR="00960E6E" w:rsidRPr="00A84794" w:rsidRDefault="00A84794" w:rsidP="00960E6E">
      <w:pPr>
        <w:pStyle w:val="Bullet"/>
        <w:rPr>
          <w:rStyle w:val="eop"/>
          <w:rFonts w:ascii="Overpass Light" w:hAnsi="Overpass Light"/>
          <w:color w:val="000000"/>
          <w:szCs w:val="18"/>
          <w:shd w:val="clear" w:color="auto" w:fill="FFFFFF"/>
        </w:rPr>
      </w:pPr>
      <w:r>
        <w:rPr>
          <w:rStyle w:val="eop"/>
          <w:rFonts w:ascii="Overpass Light" w:hAnsi="Overpass Light"/>
          <w:color w:val="000000"/>
          <w:szCs w:val="18"/>
          <w:shd w:val="clear" w:color="auto" w:fill="FFFFFF"/>
        </w:rPr>
        <w:t xml:space="preserve">The requirement for the registrar to refuse to </w:t>
      </w:r>
      <w:r w:rsidR="0071307F">
        <w:rPr>
          <w:rStyle w:val="eop"/>
          <w:rFonts w:ascii="Overpass Light" w:hAnsi="Overpass Light"/>
          <w:color w:val="000000"/>
          <w:szCs w:val="18"/>
          <w:shd w:val="clear" w:color="auto" w:fill="FFFFFF"/>
        </w:rPr>
        <w:t>update</w:t>
      </w:r>
      <w:r>
        <w:rPr>
          <w:rStyle w:val="eop"/>
          <w:rFonts w:ascii="Overpass Light" w:hAnsi="Overpass Light"/>
          <w:color w:val="000000"/>
          <w:szCs w:val="18"/>
          <w:shd w:val="clear" w:color="auto" w:fill="FFFFFF"/>
        </w:rPr>
        <w:t xml:space="preserve"> a person’s </w:t>
      </w:r>
      <w:r w:rsidR="0071307F">
        <w:rPr>
          <w:rStyle w:val="eop"/>
          <w:rFonts w:ascii="Overpass Light" w:hAnsi="Overpass Light"/>
          <w:color w:val="000000"/>
          <w:szCs w:val="18"/>
          <w:shd w:val="clear" w:color="auto" w:fill="FFFFFF"/>
        </w:rPr>
        <w:t>gender</w:t>
      </w:r>
      <w:r w:rsidR="00960E6E" w:rsidRPr="00A84794">
        <w:rPr>
          <w:rStyle w:val="eop"/>
          <w:rFonts w:ascii="Overpass Light" w:hAnsi="Overpass Light"/>
          <w:color w:val="000000"/>
          <w:szCs w:val="18"/>
          <w:shd w:val="clear" w:color="auto" w:fill="FFFFFF"/>
        </w:rPr>
        <w:t xml:space="preserve"> </w:t>
      </w:r>
      <w:r w:rsidR="005407D4">
        <w:rPr>
          <w:rStyle w:val="eop"/>
          <w:rFonts w:ascii="Overpass Light" w:hAnsi="Overpass Light"/>
          <w:color w:val="000000"/>
          <w:szCs w:val="18"/>
          <w:shd w:val="clear" w:color="auto" w:fill="FFFFFF"/>
        </w:rPr>
        <w:t>if the nominated sex descriptor is obscene, offensive</w:t>
      </w:r>
      <w:r w:rsidR="00E23DD2">
        <w:rPr>
          <w:rStyle w:val="eop"/>
          <w:rFonts w:ascii="Overpass Light" w:hAnsi="Overpass Light"/>
          <w:color w:val="000000"/>
          <w:szCs w:val="18"/>
          <w:shd w:val="clear" w:color="auto" w:fill="FFFFFF"/>
        </w:rPr>
        <w:t>,</w:t>
      </w:r>
      <w:r w:rsidR="005407D4">
        <w:rPr>
          <w:rStyle w:val="eop"/>
          <w:rFonts w:ascii="Overpass Light" w:hAnsi="Overpass Light"/>
          <w:color w:val="000000"/>
          <w:szCs w:val="18"/>
          <w:shd w:val="clear" w:color="auto" w:fill="FFFFFF"/>
        </w:rPr>
        <w:t xml:space="preserve"> absurd</w:t>
      </w:r>
      <w:r w:rsidR="00E23DD2">
        <w:rPr>
          <w:rStyle w:val="eop"/>
          <w:rFonts w:ascii="Overpass Light" w:hAnsi="Overpass Light"/>
          <w:color w:val="000000"/>
          <w:szCs w:val="18"/>
          <w:shd w:val="clear" w:color="auto" w:fill="FFFFFF"/>
        </w:rPr>
        <w:t>, impractical (whether due to being too long</w:t>
      </w:r>
      <w:r w:rsidR="00FD0B35">
        <w:rPr>
          <w:rStyle w:val="eop"/>
          <w:rFonts w:ascii="Overpass Light" w:hAnsi="Overpass Light"/>
          <w:color w:val="000000"/>
          <w:szCs w:val="18"/>
          <w:shd w:val="clear" w:color="auto" w:fill="FFFFFF"/>
        </w:rPr>
        <w:t xml:space="preserve">, consisting of unpronounceable symbols, or for another reason), or </w:t>
      </w:r>
      <w:r w:rsidR="00412AED">
        <w:rPr>
          <w:rStyle w:val="eop"/>
          <w:rFonts w:ascii="Overpass Light" w:hAnsi="Overpass Light"/>
          <w:color w:val="000000"/>
          <w:szCs w:val="18"/>
          <w:shd w:val="clear" w:color="auto" w:fill="FFFFFF"/>
        </w:rPr>
        <w:t>contrary to the public interest.</w:t>
      </w:r>
      <w:r w:rsidR="00412AED">
        <w:rPr>
          <w:rStyle w:val="FootnoteReference"/>
          <w:rFonts w:ascii="Overpass Light" w:hAnsi="Overpass Light"/>
          <w:color w:val="000000"/>
          <w:szCs w:val="18"/>
          <w:shd w:val="clear" w:color="auto" w:fill="FFFFFF"/>
        </w:rPr>
        <w:footnoteReference w:id="14"/>
      </w:r>
    </w:p>
    <w:p w14:paraId="3720ADA6" w14:textId="22FCB24F" w:rsidR="00960E6E" w:rsidRPr="00B8431D" w:rsidRDefault="00B8431D" w:rsidP="00960E6E">
      <w:pPr>
        <w:pStyle w:val="Bullet"/>
        <w:rPr>
          <w:rStyle w:val="eop"/>
          <w:rFonts w:ascii="Overpass Light" w:hAnsi="Overpass Light"/>
          <w:color w:val="000000"/>
          <w:szCs w:val="18"/>
          <w:shd w:val="clear" w:color="auto" w:fill="FFFFFF"/>
        </w:rPr>
      </w:pPr>
      <w:r>
        <w:rPr>
          <w:rStyle w:val="eop"/>
          <w:rFonts w:ascii="Overpass Light" w:hAnsi="Overpass Light"/>
          <w:color w:val="000000"/>
          <w:szCs w:val="18"/>
          <w:shd w:val="clear" w:color="auto" w:fill="FFFFFF"/>
        </w:rPr>
        <w:t xml:space="preserve">The requirement for the registrar to refuse to </w:t>
      </w:r>
      <w:r w:rsidR="0071307F">
        <w:rPr>
          <w:rStyle w:val="eop"/>
          <w:rFonts w:ascii="Overpass Light" w:hAnsi="Overpass Light"/>
          <w:color w:val="000000"/>
          <w:szCs w:val="18"/>
          <w:shd w:val="clear" w:color="auto" w:fill="FFFFFF"/>
        </w:rPr>
        <w:t>update</w:t>
      </w:r>
      <w:r>
        <w:rPr>
          <w:rStyle w:val="eop"/>
          <w:rFonts w:ascii="Overpass Light" w:hAnsi="Overpass Light"/>
          <w:color w:val="000000"/>
          <w:szCs w:val="18"/>
          <w:shd w:val="clear" w:color="auto" w:fill="FFFFFF"/>
        </w:rPr>
        <w:t xml:space="preserve"> a person’s </w:t>
      </w:r>
      <w:r w:rsidR="0071307F">
        <w:rPr>
          <w:rStyle w:val="eop"/>
          <w:rFonts w:ascii="Overpass Light" w:hAnsi="Overpass Light"/>
          <w:color w:val="000000"/>
          <w:szCs w:val="18"/>
          <w:shd w:val="clear" w:color="auto" w:fill="FFFFFF"/>
        </w:rPr>
        <w:t>gender</w:t>
      </w:r>
      <w:r w:rsidRPr="00A84794">
        <w:rPr>
          <w:rStyle w:val="eop"/>
          <w:rFonts w:ascii="Overpass Light" w:hAnsi="Overpass Light"/>
          <w:color w:val="000000"/>
          <w:szCs w:val="18"/>
          <w:shd w:val="clear" w:color="auto" w:fill="FFFFFF"/>
        </w:rPr>
        <w:t xml:space="preserve"> </w:t>
      </w:r>
      <w:r w:rsidR="0071307F">
        <w:rPr>
          <w:rStyle w:val="eop"/>
          <w:rFonts w:ascii="Overpass Light" w:hAnsi="Overpass Light"/>
          <w:color w:val="000000"/>
          <w:szCs w:val="18"/>
          <w:shd w:val="clear" w:color="auto" w:fill="FFFFFF"/>
        </w:rPr>
        <w:t>if the</w:t>
      </w:r>
      <w:r w:rsidR="00A52405">
        <w:rPr>
          <w:rStyle w:val="eop"/>
          <w:rFonts w:ascii="Overpass Light" w:hAnsi="Overpass Light"/>
          <w:color w:val="000000"/>
          <w:szCs w:val="18"/>
          <w:shd w:val="clear" w:color="auto" w:fill="FFFFFF"/>
        </w:rPr>
        <w:t xml:space="preserve"> person’s gender has been updated within the 12 months</w:t>
      </w:r>
      <w:r w:rsidR="00CD363B">
        <w:rPr>
          <w:rStyle w:val="eop"/>
          <w:rFonts w:ascii="Overpass Light" w:hAnsi="Overpass Light"/>
          <w:color w:val="000000"/>
          <w:szCs w:val="18"/>
          <w:shd w:val="clear" w:color="auto" w:fill="FFFFFF"/>
        </w:rPr>
        <w:t xml:space="preserve"> prior to the day the application is made.</w:t>
      </w:r>
      <w:r w:rsidR="00CD363B">
        <w:rPr>
          <w:rStyle w:val="FootnoteReference"/>
          <w:rFonts w:ascii="Overpass Light" w:hAnsi="Overpass Light"/>
          <w:color w:val="000000"/>
          <w:szCs w:val="18"/>
          <w:shd w:val="clear" w:color="auto" w:fill="FFFFFF"/>
        </w:rPr>
        <w:footnoteReference w:id="15"/>
      </w:r>
    </w:p>
    <w:p w14:paraId="311D2A9F" w14:textId="577D290B" w:rsidR="006A1BDD" w:rsidRPr="00D366D8" w:rsidRDefault="00D366D8" w:rsidP="00960E6E">
      <w:pPr>
        <w:pStyle w:val="Bullet"/>
        <w:rPr>
          <w:rStyle w:val="eop"/>
          <w:rFonts w:ascii="Overpass Light" w:hAnsi="Overpass Light"/>
          <w:color w:val="000000"/>
          <w:szCs w:val="18"/>
          <w:shd w:val="clear" w:color="auto" w:fill="FFFFFF"/>
        </w:rPr>
      </w:pPr>
      <w:r>
        <w:rPr>
          <w:rStyle w:val="eop"/>
          <w:rFonts w:ascii="Overpass Light" w:hAnsi="Overpass Light"/>
          <w:color w:val="000000"/>
          <w:szCs w:val="18"/>
          <w:shd w:val="clear" w:color="auto" w:fill="FFFFFF"/>
        </w:rPr>
        <w:t xml:space="preserve">The introduction of a specific offence </w:t>
      </w:r>
      <w:r w:rsidR="003B7AC7">
        <w:rPr>
          <w:rStyle w:val="eop"/>
          <w:rFonts w:ascii="Overpass Light" w:hAnsi="Overpass Light"/>
          <w:color w:val="000000"/>
          <w:szCs w:val="18"/>
          <w:shd w:val="clear" w:color="auto" w:fill="FFFFFF"/>
        </w:rPr>
        <w:t xml:space="preserve">for </w:t>
      </w:r>
      <w:r w:rsidR="009E0751">
        <w:rPr>
          <w:rStyle w:val="eop"/>
          <w:rFonts w:ascii="Overpass Light" w:hAnsi="Overpass Light"/>
          <w:color w:val="000000"/>
          <w:szCs w:val="18"/>
          <w:shd w:val="clear" w:color="auto" w:fill="FFFFFF"/>
        </w:rPr>
        <w:t xml:space="preserve">knowingly providing </w:t>
      </w:r>
      <w:r w:rsidR="0073450B">
        <w:rPr>
          <w:rStyle w:val="eop"/>
          <w:rFonts w:ascii="Overpass Light" w:hAnsi="Overpass Light"/>
          <w:color w:val="000000"/>
          <w:szCs w:val="18"/>
          <w:shd w:val="clear" w:color="auto" w:fill="FFFFFF"/>
        </w:rPr>
        <w:t>false or misleading information</w:t>
      </w:r>
      <w:r w:rsidR="00ED095B">
        <w:rPr>
          <w:rStyle w:val="eop"/>
          <w:rFonts w:ascii="Overpass Light" w:hAnsi="Overpass Light"/>
          <w:color w:val="000000"/>
          <w:szCs w:val="18"/>
          <w:shd w:val="clear" w:color="auto" w:fill="FFFFFF"/>
        </w:rPr>
        <w:t>.</w:t>
      </w:r>
      <w:r w:rsidR="00C00C3E" w:rsidRPr="00ED095B">
        <w:rPr>
          <w:rStyle w:val="FootnoteReference"/>
          <w:rFonts w:ascii="Overpass Light" w:hAnsi="Overpass Light"/>
          <w:color w:val="000000"/>
          <w:szCs w:val="18"/>
          <w:shd w:val="clear" w:color="auto" w:fill="FFFFFF"/>
        </w:rPr>
        <w:footnoteReference w:id="16"/>
      </w:r>
    </w:p>
    <w:p w14:paraId="757C920F" w14:textId="5922D029" w:rsidR="006A1BDD" w:rsidRDefault="00ED095B" w:rsidP="001A53AF">
      <w:pPr>
        <w:pStyle w:val="Bullet"/>
        <w:rPr>
          <w:rStyle w:val="eop"/>
          <w:rFonts w:ascii="Overpass Light" w:hAnsi="Overpass Light"/>
          <w:color w:val="000000"/>
          <w:szCs w:val="18"/>
          <w:shd w:val="clear" w:color="auto" w:fill="FFFFFF"/>
        </w:rPr>
      </w:pPr>
      <w:r>
        <w:rPr>
          <w:rStyle w:val="eop"/>
          <w:rFonts w:ascii="Overpass Light" w:hAnsi="Overpass Light"/>
          <w:color w:val="000000"/>
          <w:szCs w:val="18"/>
          <w:shd w:val="clear" w:color="auto" w:fill="FFFFFF"/>
        </w:rPr>
        <w:t xml:space="preserve">The </w:t>
      </w:r>
      <w:r w:rsidR="00EB123B" w:rsidRPr="00ED095B">
        <w:rPr>
          <w:rStyle w:val="eop"/>
          <w:rFonts w:ascii="Overpass Light" w:hAnsi="Overpass Light"/>
          <w:color w:val="000000"/>
          <w:szCs w:val="18"/>
          <w:shd w:val="clear" w:color="auto" w:fill="FFFFFF"/>
        </w:rPr>
        <w:t xml:space="preserve">requirement for parental consent before a young person can update their gender, except </w:t>
      </w:r>
      <w:proofErr w:type="gramStart"/>
      <w:r w:rsidR="00EB123B" w:rsidRPr="00ED095B">
        <w:rPr>
          <w:rStyle w:val="eop"/>
          <w:rFonts w:ascii="Overpass Light" w:hAnsi="Overpass Light"/>
          <w:color w:val="000000"/>
          <w:szCs w:val="18"/>
          <w:shd w:val="clear" w:color="auto" w:fill="FFFFFF"/>
        </w:rPr>
        <w:t>where</w:t>
      </w:r>
      <w:proofErr w:type="gramEnd"/>
      <w:r w:rsidR="00EB123B" w:rsidRPr="00ED095B">
        <w:rPr>
          <w:rStyle w:val="eop"/>
          <w:rFonts w:ascii="Overpass Light" w:hAnsi="Overpass Light"/>
          <w:color w:val="000000"/>
          <w:szCs w:val="18"/>
          <w:shd w:val="clear" w:color="auto" w:fill="FFFFFF"/>
        </w:rPr>
        <w:t xml:space="preserve"> authorised by a court</w:t>
      </w:r>
      <w:r w:rsidR="006A1BDD" w:rsidRPr="00ED095B">
        <w:rPr>
          <w:rStyle w:val="eop"/>
          <w:rFonts w:ascii="Overpass Light" w:hAnsi="Overpass Light"/>
          <w:color w:val="000000"/>
          <w:szCs w:val="18"/>
          <w:shd w:val="clear" w:color="auto" w:fill="FFFFFF"/>
        </w:rPr>
        <w:t>.</w:t>
      </w:r>
      <w:r w:rsidR="002D6596">
        <w:rPr>
          <w:rStyle w:val="FootnoteReference"/>
          <w:rFonts w:ascii="Overpass Light" w:hAnsi="Overpass Light"/>
          <w:color w:val="000000"/>
          <w:szCs w:val="18"/>
          <w:shd w:val="clear" w:color="auto" w:fill="FFFFFF"/>
        </w:rPr>
        <w:footnoteReference w:id="17"/>
      </w:r>
    </w:p>
    <w:p w14:paraId="3E1EB002" w14:textId="4E90CE37" w:rsidR="00580558" w:rsidRPr="00ED095B" w:rsidRDefault="00580558" w:rsidP="00580558">
      <w:pPr>
        <w:rPr>
          <w:rStyle w:val="eop"/>
          <w:rFonts w:ascii="Overpass Light" w:hAnsi="Overpass Light"/>
          <w:color w:val="000000"/>
          <w:szCs w:val="18"/>
          <w:shd w:val="clear" w:color="auto" w:fill="FFFFFF"/>
        </w:rPr>
      </w:pPr>
      <w:r>
        <w:rPr>
          <w:rStyle w:val="eop"/>
          <w:rFonts w:ascii="Overpass Light" w:hAnsi="Overpass Light"/>
          <w:color w:val="000000"/>
          <w:szCs w:val="18"/>
          <w:shd w:val="clear" w:color="auto" w:fill="FFFFFF"/>
        </w:rPr>
        <w:lastRenderedPageBreak/>
        <w:t xml:space="preserve">Some of these safeguards go further than </w:t>
      </w:r>
      <w:r w:rsidR="00745E0F">
        <w:rPr>
          <w:rStyle w:val="eop"/>
          <w:rFonts w:ascii="Overpass Light" w:hAnsi="Overpass Light"/>
          <w:color w:val="000000"/>
          <w:szCs w:val="18"/>
          <w:shd w:val="clear" w:color="auto" w:fill="FFFFFF"/>
        </w:rPr>
        <w:t xml:space="preserve">other states and territories have sought to go, such as the requirement for consent to a change of gender for prisoners. We address this </w:t>
      </w:r>
      <w:proofErr w:type="gramStart"/>
      <w:r w:rsidR="00745E0F">
        <w:rPr>
          <w:rStyle w:val="eop"/>
          <w:rFonts w:ascii="Overpass Light" w:hAnsi="Overpass Light"/>
          <w:color w:val="000000"/>
          <w:szCs w:val="18"/>
          <w:shd w:val="clear" w:color="auto" w:fill="FFFFFF"/>
        </w:rPr>
        <w:t>particular requirement</w:t>
      </w:r>
      <w:proofErr w:type="gramEnd"/>
      <w:r w:rsidR="00745E0F">
        <w:rPr>
          <w:rStyle w:val="eop"/>
          <w:rFonts w:ascii="Overpass Light" w:hAnsi="Overpass Light"/>
          <w:color w:val="000000"/>
          <w:szCs w:val="18"/>
          <w:shd w:val="clear" w:color="auto" w:fill="FFFFFF"/>
        </w:rPr>
        <w:t xml:space="preserve"> further below.</w:t>
      </w:r>
      <w:r w:rsidR="00F71077">
        <w:rPr>
          <w:rStyle w:val="eop"/>
          <w:rFonts w:ascii="Overpass Light" w:hAnsi="Overpass Light"/>
          <w:color w:val="000000"/>
          <w:szCs w:val="18"/>
          <w:shd w:val="clear" w:color="auto" w:fill="FFFFFF"/>
        </w:rPr>
        <w:t xml:space="preserve"> However, </w:t>
      </w:r>
      <w:proofErr w:type="gramStart"/>
      <w:r w:rsidR="00F71077">
        <w:rPr>
          <w:rStyle w:val="eop"/>
          <w:rFonts w:ascii="Overpass Light" w:hAnsi="Overpass Light"/>
          <w:color w:val="000000"/>
          <w:szCs w:val="18"/>
          <w:shd w:val="clear" w:color="auto" w:fill="FFFFFF"/>
        </w:rPr>
        <w:t>on the whole</w:t>
      </w:r>
      <w:proofErr w:type="gramEnd"/>
      <w:r w:rsidR="00F71077">
        <w:rPr>
          <w:rStyle w:val="eop"/>
          <w:rFonts w:ascii="Overpass Light" w:hAnsi="Overpass Light"/>
          <w:color w:val="000000"/>
          <w:szCs w:val="18"/>
          <w:shd w:val="clear" w:color="auto" w:fill="FFFFFF"/>
        </w:rPr>
        <w:t xml:space="preserve">, the Bill </w:t>
      </w:r>
      <w:r w:rsidR="00DB0AB1">
        <w:rPr>
          <w:rStyle w:val="eop"/>
          <w:rFonts w:ascii="Overpass Light" w:hAnsi="Overpass Light"/>
          <w:color w:val="000000"/>
          <w:szCs w:val="18"/>
          <w:shd w:val="clear" w:color="auto" w:fill="FFFFFF"/>
        </w:rPr>
        <w:t xml:space="preserve">will make it </w:t>
      </w:r>
      <w:r w:rsidR="00184122">
        <w:rPr>
          <w:rStyle w:val="eop"/>
          <w:rFonts w:ascii="Overpass Light" w:hAnsi="Overpass Light"/>
          <w:color w:val="000000"/>
          <w:szCs w:val="18"/>
          <w:shd w:val="clear" w:color="auto" w:fill="FFFFFF"/>
        </w:rPr>
        <w:t xml:space="preserve">much </w:t>
      </w:r>
      <w:r w:rsidR="00DB0AB1">
        <w:rPr>
          <w:rStyle w:val="eop"/>
          <w:rFonts w:ascii="Overpass Light" w:hAnsi="Overpass Light"/>
          <w:color w:val="000000"/>
          <w:szCs w:val="18"/>
          <w:shd w:val="clear" w:color="auto" w:fill="FFFFFF"/>
        </w:rPr>
        <w:t>easier for trans and gender diverse Queensland</w:t>
      </w:r>
      <w:r w:rsidR="0004012A">
        <w:rPr>
          <w:rStyle w:val="eop"/>
          <w:rFonts w:ascii="Overpass Light" w:hAnsi="Overpass Light"/>
          <w:color w:val="000000"/>
          <w:szCs w:val="18"/>
          <w:shd w:val="clear" w:color="auto" w:fill="FFFFFF"/>
        </w:rPr>
        <w:t xml:space="preserve">ers to </w:t>
      </w:r>
      <w:r w:rsidR="00184122">
        <w:rPr>
          <w:rStyle w:val="eop"/>
          <w:rFonts w:ascii="Overpass Light" w:hAnsi="Overpass Light"/>
          <w:color w:val="000000"/>
          <w:szCs w:val="18"/>
          <w:shd w:val="clear" w:color="auto" w:fill="FFFFFF"/>
        </w:rPr>
        <w:t>be recognised for who they are.</w:t>
      </w:r>
      <w:r w:rsidR="00F71077">
        <w:rPr>
          <w:rStyle w:val="eop"/>
          <w:rFonts w:ascii="Overpass Light" w:hAnsi="Overpass Light"/>
          <w:color w:val="000000"/>
          <w:szCs w:val="18"/>
          <w:shd w:val="clear" w:color="auto" w:fill="FFFFFF"/>
        </w:rPr>
        <w:t xml:space="preserve"> </w:t>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655645" w14:paraId="5BB74B92" w14:textId="77777777">
        <w:tc>
          <w:tcPr>
            <w:tcW w:w="8871" w:type="dxa"/>
            <w:tcMar>
              <w:bottom w:w="142" w:type="dxa"/>
            </w:tcMar>
          </w:tcPr>
          <w:p w14:paraId="2F26EFDC" w14:textId="77777777" w:rsidR="00655645" w:rsidRDefault="00655645">
            <w:pPr>
              <w:pStyle w:val="Heading3"/>
              <w:outlineLvl w:val="2"/>
              <w:rPr>
                <w:rFonts w:hint="eastAsia"/>
              </w:rPr>
            </w:pPr>
            <w:r>
              <w:t>recommendation 1</w:t>
            </w:r>
          </w:p>
          <w:p w14:paraId="03CC9D32" w14:textId="0C9E8CCD" w:rsidR="00655645" w:rsidRDefault="000D3B9F">
            <w:pPr>
              <w:rPr>
                <w:rStyle w:val="PageNumber"/>
              </w:rPr>
            </w:pPr>
            <w:r w:rsidRPr="004655FD">
              <w:rPr>
                <w:rStyle w:val="PageNumber"/>
                <w:b/>
                <w:bCs/>
              </w:rPr>
              <w:t xml:space="preserve">Pass the Bill. </w:t>
            </w:r>
            <w:r>
              <w:rPr>
                <w:rStyle w:val="PageNumber"/>
              </w:rPr>
              <w:t xml:space="preserve"> We warmly welcome the Bill and recommend its passage into law.</w:t>
            </w:r>
          </w:p>
        </w:tc>
      </w:tr>
    </w:tbl>
    <w:p w14:paraId="652ADFFA" w14:textId="77777777" w:rsidR="00655645" w:rsidRPr="00655645" w:rsidRDefault="00655645" w:rsidP="004829B0">
      <w:pPr>
        <w:rPr>
          <w:rStyle w:val="eop"/>
          <w:rFonts w:ascii="Overpass Light" w:hAnsi="Overpass Light"/>
          <w:color w:val="000000"/>
          <w:szCs w:val="18"/>
          <w:shd w:val="clear" w:color="auto" w:fill="FFFFFF"/>
        </w:rPr>
      </w:pPr>
    </w:p>
    <w:p w14:paraId="4B2F84EB" w14:textId="77777777" w:rsidR="008E3ADE" w:rsidRDefault="008E3ADE">
      <w:pPr>
        <w:spacing w:before="0" w:after="160" w:line="259" w:lineRule="auto"/>
        <w:rPr>
          <w:rStyle w:val="eop"/>
          <w:rFonts w:asciiTheme="majorHAnsi" w:hAnsiTheme="majorHAnsi"/>
          <w:caps/>
          <w:color w:val="B41EAA" w:themeColor="accent6"/>
          <w:spacing w:val="0"/>
          <w:sz w:val="46"/>
        </w:rPr>
      </w:pPr>
      <w:r>
        <w:rPr>
          <w:rStyle w:val="eop"/>
        </w:rPr>
        <w:br w:type="page"/>
      </w:r>
    </w:p>
    <w:p w14:paraId="0054373C" w14:textId="577EE40D" w:rsidR="00AA22C8" w:rsidRPr="004655FD" w:rsidRDefault="004829B0" w:rsidP="004655FD">
      <w:pPr>
        <w:pStyle w:val="Section"/>
      </w:pPr>
      <w:bookmarkStart w:id="5" w:name="_Toc124333214"/>
      <w:r>
        <w:rPr>
          <w:rStyle w:val="eop"/>
        </w:rPr>
        <w:lastRenderedPageBreak/>
        <w:t xml:space="preserve">Further </w:t>
      </w:r>
      <w:r w:rsidR="006B576C">
        <w:rPr>
          <w:rStyle w:val="eop"/>
        </w:rPr>
        <w:t>a</w:t>
      </w:r>
      <w:r w:rsidR="00AA22C8" w:rsidRPr="004655FD">
        <w:rPr>
          <w:rStyle w:val="eop"/>
        </w:rPr>
        <w:t xml:space="preserve">reas for </w:t>
      </w:r>
      <w:r>
        <w:rPr>
          <w:rStyle w:val="eop"/>
        </w:rPr>
        <w:t>consideration</w:t>
      </w:r>
      <w:bookmarkEnd w:id="5"/>
    </w:p>
    <w:p w14:paraId="559EFE5A" w14:textId="1993A9E0" w:rsidR="006A7793" w:rsidRDefault="006B576C" w:rsidP="004655FD">
      <w:pPr>
        <w:pStyle w:val="Heading1"/>
      </w:pPr>
      <w:bookmarkStart w:id="6" w:name="_Toc124333215"/>
      <w:r>
        <w:t>A</w:t>
      </w:r>
      <w:r w:rsidR="00D83CF5">
        <w:t>pplication fees</w:t>
      </w:r>
      <w:bookmarkEnd w:id="6"/>
    </w:p>
    <w:p w14:paraId="28E587F1" w14:textId="340AA247" w:rsidR="0088389A" w:rsidRPr="0088389A" w:rsidRDefault="0088389A" w:rsidP="004655FD">
      <w:pPr>
        <w:pStyle w:val="Intro"/>
      </w:pPr>
      <w:r>
        <w:t>A</w:t>
      </w:r>
      <w:r w:rsidRPr="00580172">
        <w:t xml:space="preserve">pplication fees </w:t>
      </w:r>
      <w:r>
        <w:t xml:space="preserve">must </w:t>
      </w:r>
      <w:r w:rsidRPr="00580172">
        <w:t xml:space="preserve">not present a financial barrier to </w:t>
      </w:r>
      <w:r>
        <w:t xml:space="preserve">a person </w:t>
      </w:r>
      <w:r w:rsidR="008767DF">
        <w:t xml:space="preserve">legally </w:t>
      </w:r>
      <w:r w:rsidR="00665F04">
        <w:t>affirm</w:t>
      </w:r>
      <w:r w:rsidR="008767DF">
        <w:t>ing</w:t>
      </w:r>
      <w:r w:rsidR="00665F04">
        <w:t xml:space="preserve"> their gender</w:t>
      </w:r>
      <w:r w:rsidRPr="00580172">
        <w:t>.</w:t>
      </w:r>
    </w:p>
    <w:p w14:paraId="7227FA29" w14:textId="6F514EA6" w:rsidR="000600B8" w:rsidRDefault="000600B8" w:rsidP="000600B8">
      <w:r>
        <w:t>We welcome the ability for trans and gender diverse people to be able to update their gender marker and change their name in one application. This is a</w:t>
      </w:r>
      <w:r w:rsidR="002E2E94">
        <w:t xml:space="preserve">n important measure </w:t>
      </w:r>
      <w:r w:rsidR="00121EF4">
        <w:t xml:space="preserve">designed </w:t>
      </w:r>
      <w:r w:rsidR="002E2E94">
        <w:t xml:space="preserve">to reduce the amount of </w:t>
      </w:r>
      <w:r w:rsidR="00AD3FC4">
        <w:t>paper</w:t>
      </w:r>
      <w:r w:rsidR="002E2E94">
        <w:t xml:space="preserve">work </w:t>
      </w:r>
      <w:r w:rsidR="00AD3FC4">
        <w:t>required to ensure trans and gender diverse people</w:t>
      </w:r>
      <w:r w:rsidR="00F35C4A">
        <w:t xml:space="preserve"> are treated with dignity and respect</w:t>
      </w:r>
      <w:r w:rsidR="00AD3FC4">
        <w:t xml:space="preserve">. </w:t>
      </w:r>
      <w:r w:rsidR="008C730A">
        <w:t>We also welcome the discretion afford</w:t>
      </w:r>
      <w:r w:rsidR="004A7E28">
        <w:t>ed</w:t>
      </w:r>
      <w:r w:rsidR="008C730A">
        <w:t xml:space="preserve"> to the Registrar to </w:t>
      </w:r>
      <w:r w:rsidR="004A7E28">
        <w:t>waive fees in certain circumstances.</w:t>
      </w:r>
      <w:r w:rsidR="000C1BB8">
        <w:rPr>
          <w:rStyle w:val="FootnoteReference"/>
        </w:rPr>
        <w:footnoteReference w:id="18"/>
      </w:r>
    </w:p>
    <w:p w14:paraId="197ECA7F" w14:textId="77777777" w:rsidR="00132C5E" w:rsidRDefault="00A35532" w:rsidP="009C3BB5">
      <w:r>
        <w:t xml:space="preserve">Although the Bill streamlines the process for </w:t>
      </w:r>
      <w:r w:rsidR="00120921">
        <w:t>people who seek to update their gender and their name</w:t>
      </w:r>
      <w:r w:rsidR="009F0176">
        <w:t xml:space="preserve"> simultaneously</w:t>
      </w:r>
      <w:r w:rsidR="00767D6E">
        <w:t>,</w:t>
      </w:r>
      <w:r w:rsidR="00B727D8">
        <w:rPr>
          <w:rStyle w:val="FootnoteReference"/>
        </w:rPr>
        <w:footnoteReference w:id="19"/>
      </w:r>
      <w:r w:rsidR="00B67899">
        <w:t xml:space="preserve"> it appears that</w:t>
      </w:r>
      <w:r w:rsidR="00120921">
        <w:t xml:space="preserve"> </w:t>
      </w:r>
      <w:r w:rsidR="00C07443">
        <w:t xml:space="preserve">applicants are </w:t>
      </w:r>
      <w:r w:rsidR="009F0176">
        <w:t>ordinarily</w:t>
      </w:r>
      <w:r w:rsidR="00C07443">
        <w:t xml:space="preserve"> required </w:t>
      </w:r>
      <w:r w:rsidR="00767D6E">
        <w:t xml:space="preserve">to pay the full fee for </w:t>
      </w:r>
      <w:r w:rsidR="00930F6B">
        <w:t xml:space="preserve">both </w:t>
      </w:r>
      <w:r w:rsidR="00E83C7D">
        <w:t>registering a change of name and altering a record of sex</w:t>
      </w:r>
      <w:r w:rsidR="009F0176">
        <w:t xml:space="preserve"> unless the Registrar exercises their discretion to waive fees</w:t>
      </w:r>
      <w:r w:rsidR="00E83C7D">
        <w:t>.</w:t>
      </w:r>
      <w:r w:rsidR="00F000FA">
        <w:rPr>
          <w:rStyle w:val="FootnoteReference"/>
        </w:rPr>
        <w:footnoteReference w:id="20"/>
      </w:r>
      <w:r w:rsidR="00E83C7D">
        <w:t xml:space="preserve"> </w:t>
      </w:r>
      <w:r w:rsidR="0028519F">
        <w:t xml:space="preserve">Together, these </w:t>
      </w:r>
      <w:r w:rsidR="00930F6B">
        <w:t>application fees may amount</w:t>
      </w:r>
      <w:r w:rsidR="0028519F">
        <w:t xml:space="preserve"> to</w:t>
      </w:r>
      <w:r w:rsidR="00930F6B">
        <w:t xml:space="preserve"> as much as</w:t>
      </w:r>
      <w:r w:rsidR="0028519F">
        <w:t xml:space="preserve"> 303.20 fee units</w:t>
      </w:r>
      <w:r w:rsidR="006D6633">
        <w:t>.</w:t>
      </w:r>
      <w:r w:rsidR="006E30B0">
        <w:t xml:space="preserve"> </w:t>
      </w:r>
    </w:p>
    <w:p w14:paraId="285F83E8" w14:textId="70A441E8" w:rsidR="006D6633" w:rsidRDefault="00C11659" w:rsidP="009C3BB5">
      <w:r>
        <w:rPr>
          <w:rStyle w:val="PageNumber"/>
        </w:rPr>
        <w:t>Whether by changes to the regulation or by implementing a policy to guide the Registrar’s discretion on fee waivers, we recommend that trans and gender diverse people be charged no more than the operational cost of updating their gender marker and changing their name</w:t>
      </w:r>
      <w:r w:rsidR="003F5E98">
        <w:rPr>
          <w:rStyle w:val="PageNumber"/>
        </w:rPr>
        <w:t>, if they are to be charged at all for this service</w:t>
      </w:r>
      <w:r>
        <w:rPr>
          <w:rStyle w:val="PageNumber"/>
        </w:rPr>
        <w:t>. In any case, policies must ensure that fees are waived when appropriate to ensure there are no financial barriers to a person obtaining an updated birth certificate that reflects their gender.</w:t>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364856" w14:paraId="230214DC" w14:textId="77777777">
        <w:tc>
          <w:tcPr>
            <w:tcW w:w="8871" w:type="dxa"/>
            <w:tcMar>
              <w:bottom w:w="142" w:type="dxa"/>
            </w:tcMar>
          </w:tcPr>
          <w:p w14:paraId="4FDDFE8E" w14:textId="38609C7A" w:rsidR="00364856" w:rsidRDefault="00364856">
            <w:pPr>
              <w:pStyle w:val="Heading3"/>
              <w:outlineLvl w:val="2"/>
              <w:rPr>
                <w:rFonts w:hint="eastAsia"/>
              </w:rPr>
            </w:pPr>
            <w:r>
              <w:t>recommendation</w:t>
            </w:r>
            <w:r w:rsidR="00065E3C">
              <w:t xml:space="preserve"> </w:t>
            </w:r>
            <w:r w:rsidR="00087C8F">
              <w:t>2</w:t>
            </w:r>
          </w:p>
          <w:p w14:paraId="127B65EE" w14:textId="330EA508" w:rsidR="00364856" w:rsidRDefault="006F5B42">
            <w:pPr>
              <w:rPr>
                <w:rStyle w:val="PageNumber"/>
              </w:rPr>
            </w:pPr>
            <w:r w:rsidRPr="004655FD">
              <w:t xml:space="preserve">Amend the regulation or implement a policy to guide the Registrar’s discretion on fee waivers, to </w:t>
            </w:r>
            <w:r w:rsidR="00496C8C" w:rsidRPr="004655FD">
              <w:t>e</w:t>
            </w:r>
            <w:r w:rsidR="005469B9" w:rsidRPr="004655FD">
              <w:t xml:space="preserve">nsure application fees do not present a financial barrier to </w:t>
            </w:r>
            <w:r w:rsidR="00496C8C">
              <w:t xml:space="preserve">a person </w:t>
            </w:r>
            <w:r w:rsidR="00870F3F">
              <w:t xml:space="preserve">legally affirming their gender by </w:t>
            </w:r>
            <w:r w:rsidR="005469B9" w:rsidRPr="004655FD">
              <w:t xml:space="preserve">updating </w:t>
            </w:r>
            <w:r w:rsidR="00496C8C">
              <w:t xml:space="preserve">their </w:t>
            </w:r>
            <w:r w:rsidR="005469B9" w:rsidRPr="004655FD">
              <w:t>gender and</w:t>
            </w:r>
            <w:r w:rsidR="00870F3F">
              <w:t>/or</w:t>
            </w:r>
            <w:r w:rsidR="005469B9" w:rsidRPr="004655FD">
              <w:t xml:space="preserve"> changing</w:t>
            </w:r>
            <w:r w:rsidR="00496C8C">
              <w:t xml:space="preserve"> their</w:t>
            </w:r>
            <w:r w:rsidR="005469B9" w:rsidRPr="004655FD">
              <w:t xml:space="preserve"> name. </w:t>
            </w:r>
          </w:p>
        </w:tc>
      </w:tr>
    </w:tbl>
    <w:p w14:paraId="3C35A15B" w14:textId="785CF4F2" w:rsidR="00DC1E61" w:rsidRDefault="00217D10" w:rsidP="004655FD">
      <w:pPr>
        <w:pStyle w:val="Heading1"/>
      </w:pPr>
      <w:bookmarkStart w:id="8" w:name="_Toc124333216"/>
      <w:r>
        <w:t>Ensure access to support for young people and their families</w:t>
      </w:r>
      <w:bookmarkEnd w:id="8"/>
    </w:p>
    <w:p w14:paraId="7B51E8BE" w14:textId="1856FEF1" w:rsidR="0088389A" w:rsidRPr="0088389A" w:rsidRDefault="0088389A" w:rsidP="004655FD">
      <w:pPr>
        <w:pStyle w:val="Intro"/>
      </w:pPr>
      <w:r>
        <w:t xml:space="preserve">Young people and their families must be adequately supported through the process of updating a young person’s </w:t>
      </w:r>
      <w:r w:rsidR="005B4097">
        <w:t>gender</w:t>
      </w:r>
      <w:r w:rsidR="000C7F3E">
        <w:t xml:space="preserve"> on their birth certificate</w:t>
      </w:r>
      <w:r w:rsidR="00874F90">
        <w:t>.</w:t>
      </w:r>
    </w:p>
    <w:p w14:paraId="5A1C1FE2" w14:textId="69C60F72" w:rsidR="002452A4" w:rsidRPr="003F0369" w:rsidRDefault="003D7A6C" w:rsidP="002452A4">
      <w:pPr>
        <w:rPr>
          <w:highlight w:val="yellow"/>
        </w:rPr>
      </w:pPr>
      <w:r w:rsidRPr="006F309D">
        <w:t xml:space="preserve">We welcome </w:t>
      </w:r>
      <w:r w:rsidRPr="006F309D">
        <w:rPr>
          <w:rStyle w:val="PageNumber"/>
        </w:rPr>
        <w:t xml:space="preserve">the ability of young people to be able to update their gender with the support of their parents or legal guardians, or court approval. </w:t>
      </w:r>
      <w:r w:rsidR="0089718E" w:rsidRPr="00B979F8">
        <w:t xml:space="preserve">To ensure that young people and their families </w:t>
      </w:r>
      <w:r w:rsidR="0089718E">
        <w:t>can</w:t>
      </w:r>
      <w:r w:rsidR="0089718E" w:rsidRPr="00B979F8">
        <w:t xml:space="preserve"> take advantage of the mechanisms under the Bill</w:t>
      </w:r>
      <w:r w:rsidR="00E2488A">
        <w:t>,</w:t>
      </w:r>
      <w:r w:rsidR="004D4098" w:rsidRPr="002929F5">
        <w:t xml:space="preserve"> </w:t>
      </w:r>
      <w:r w:rsidR="007E4091" w:rsidRPr="006F309D">
        <w:rPr>
          <w:rStyle w:val="PageNumber"/>
        </w:rPr>
        <w:t>support services</w:t>
      </w:r>
      <w:r w:rsidR="000D2655">
        <w:rPr>
          <w:rStyle w:val="PageNumber"/>
        </w:rPr>
        <w:t xml:space="preserve"> (such as legal support)</w:t>
      </w:r>
      <w:r w:rsidR="00EF5AB9">
        <w:rPr>
          <w:rStyle w:val="PageNumber"/>
        </w:rPr>
        <w:t xml:space="preserve"> must be available</w:t>
      </w:r>
      <w:r w:rsidR="007E4091" w:rsidRPr="006F309D">
        <w:rPr>
          <w:rStyle w:val="PageNumber"/>
        </w:rPr>
        <w:t xml:space="preserve">, particularly where young people do not have the support of </w:t>
      </w:r>
      <w:r w:rsidR="007E4091">
        <w:rPr>
          <w:rStyle w:val="PageNumber"/>
        </w:rPr>
        <w:t>each of</w:t>
      </w:r>
      <w:r w:rsidR="007E4091" w:rsidRPr="006F309D">
        <w:rPr>
          <w:rStyle w:val="PageNumber"/>
        </w:rPr>
        <w:t xml:space="preserve"> their parents or legal guardians</w:t>
      </w:r>
      <w:r w:rsidR="002929F5" w:rsidRPr="006F309D">
        <w:rPr>
          <w:rStyle w:val="PageNumber"/>
        </w:rPr>
        <w:t>.</w:t>
      </w:r>
    </w:p>
    <w:p w14:paraId="26E97221" w14:textId="1CEF158A" w:rsidR="00476B4B" w:rsidRDefault="00DC08C9" w:rsidP="002452A4">
      <w:r w:rsidRPr="00B979F8">
        <w:t xml:space="preserve">Information about </w:t>
      </w:r>
      <w:r w:rsidR="00B64FF9" w:rsidRPr="00B979F8">
        <w:t xml:space="preserve">obtaining </w:t>
      </w:r>
      <w:r w:rsidR="00627387" w:rsidRPr="00B979F8">
        <w:t xml:space="preserve">this support must be </w:t>
      </w:r>
      <w:r w:rsidR="000769FB" w:rsidRPr="00B979F8">
        <w:t xml:space="preserve">readily available </w:t>
      </w:r>
      <w:r w:rsidR="001E0799" w:rsidRPr="00B979F8">
        <w:t>and accessible to young people</w:t>
      </w:r>
      <w:r w:rsidR="00EF5AB9">
        <w:t xml:space="preserve"> and their families,</w:t>
      </w:r>
      <w:r w:rsidR="00B979F8">
        <w:t xml:space="preserve"> </w:t>
      </w:r>
      <w:r w:rsidR="001C6A0B">
        <w:rPr>
          <w:rStyle w:val="PageNumber"/>
        </w:rPr>
        <w:t>including</w:t>
      </w:r>
      <w:r w:rsidR="00B979F8" w:rsidRPr="006F309D">
        <w:rPr>
          <w:rStyle w:val="PageNumber"/>
        </w:rPr>
        <w:t xml:space="preserve"> on the relevant pages of the Births, </w:t>
      </w:r>
      <w:proofErr w:type="gramStart"/>
      <w:r w:rsidR="00B979F8" w:rsidRPr="006F309D">
        <w:rPr>
          <w:rStyle w:val="PageNumber"/>
        </w:rPr>
        <w:t>Deaths</w:t>
      </w:r>
      <w:proofErr w:type="gramEnd"/>
      <w:r w:rsidR="00B979F8" w:rsidRPr="006F309D">
        <w:rPr>
          <w:rStyle w:val="PageNumber"/>
        </w:rPr>
        <w:t xml:space="preserve"> and Marriages website.</w:t>
      </w:r>
    </w:p>
    <w:p w14:paraId="24E2DFE6" w14:textId="3BBCF9F4" w:rsidR="001A3A8B" w:rsidRDefault="00A91628" w:rsidP="002452A4">
      <w:r>
        <w:t>It is important to note that</w:t>
      </w:r>
      <w:r w:rsidR="001A3A8B">
        <w:t xml:space="preserve"> this Bill does not alter or affect the </w:t>
      </w:r>
      <w:r w:rsidR="009915CB">
        <w:t>law</w:t>
      </w:r>
      <w:r w:rsidR="001A3A8B">
        <w:t xml:space="preserve"> on who can consent to medical treatment for a young person seeking gender affirming healthcare</w:t>
      </w:r>
      <w:r w:rsidR="00EF3E9C">
        <w:t>, with the prevailing authority being that both parents must consent to any gender affirming healthcare where a young person is under 18.</w:t>
      </w:r>
      <w:r w:rsidR="00EF3E9C">
        <w:rPr>
          <w:rStyle w:val="FootnoteReference"/>
        </w:rPr>
        <w:footnoteReference w:id="21"/>
      </w:r>
      <w:r w:rsidR="001A3A8B">
        <w:t xml:space="preserve"> </w:t>
      </w:r>
      <w:r w:rsidR="00321A71">
        <w:t>While</w:t>
      </w:r>
      <w:r w:rsidR="00232A79">
        <w:t xml:space="preserve"> this Bill</w:t>
      </w:r>
      <w:r w:rsidR="000274E7">
        <w:t xml:space="preserve"> does not alter the current</w:t>
      </w:r>
      <w:r w:rsidR="00EC1D12">
        <w:t xml:space="preserve"> </w:t>
      </w:r>
      <w:r w:rsidR="00EF3E9C">
        <w:t>law</w:t>
      </w:r>
      <w:r w:rsidR="00EC1D12">
        <w:t xml:space="preserve"> </w:t>
      </w:r>
      <w:r w:rsidR="00EF3E9C">
        <w:t>on</w:t>
      </w:r>
      <w:r w:rsidR="00EC1D12">
        <w:t xml:space="preserve"> accessing gender affirming healthcare</w:t>
      </w:r>
      <w:r w:rsidR="000274E7">
        <w:t xml:space="preserve"> for trans young people</w:t>
      </w:r>
      <w:r w:rsidR="007E352D">
        <w:t xml:space="preserve">, it is significant in removing the requirement for surgery from young people seeking to update their </w:t>
      </w:r>
      <w:r w:rsidR="000F11C1">
        <w:t>legal gender.</w:t>
      </w:r>
      <w:r w:rsidR="00EF3E9C">
        <w:t xml:space="preserve"> In decoupling </w:t>
      </w:r>
      <w:r w:rsidR="00EB1BDF">
        <w:t xml:space="preserve">legal affirmation </w:t>
      </w:r>
      <w:r w:rsidR="00EB1BDF">
        <w:lastRenderedPageBreak/>
        <w:t xml:space="preserve">from medical affirmation, it preserves for the young person and their family </w:t>
      </w:r>
      <w:r w:rsidR="00095D75">
        <w:t xml:space="preserve">full </w:t>
      </w:r>
      <w:r w:rsidR="00EB1BDF">
        <w:t>autonomy over medical decision</w:t>
      </w:r>
      <w:r w:rsidR="00095D75">
        <w:t>-</w:t>
      </w:r>
      <w:r w:rsidR="00EB1BDF">
        <w:t>making</w:t>
      </w:r>
      <w:r w:rsidR="00C96A25">
        <w:t xml:space="preserve">. It </w:t>
      </w:r>
      <w:r w:rsidR="00095D75">
        <w:t>ensures young people who wish to pursue medical affirmation</w:t>
      </w:r>
      <w:r w:rsidR="00C96A25">
        <w:t>, whether now or in the future,</w:t>
      </w:r>
      <w:r w:rsidR="00095D75">
        <w:t xml:space="preserve"> </w:t>
      </w:r>
      <w:r w:rsidR="00A60017">
        <w:t>can make those decisions without</w:t>
      </w:r>
      <w:r w:rsidR="00C96A25">
        <w:t xml:space="preserve"> </w:t>
      </w:r>
      <w:r w:rsidR="00400CB6">
        <w:t xml:space="preserve">feeling any pressure </w:t>
      </w:r>
      <w:r w:rsidR="00BD30B3">
        <w:t xml:space="preserve">that the </w:t>
      </w:r>
      <w:r w:rsidR="002F0FD9">
        <w:t xml:space="preserve">decision </w:t>
      </w:r>
      <w:r w:rsidR="00BD30B3">
        <w:t>will have</w:t>
      </w:r>
      <w:r w:rsidR="002F0FD9">
        <w:t xml:space="preserve"> an impact on their </w:t>
      </w:r>
      <w:r w:rsidR="00974DAC">
        <w:t>legal recognition</w:t>
      </w:r>
      <w:r w:rsidR="00EB1BDF">
        <w:t xml:space="preserve">. </w:t>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455CE4" w14:paraId="3088DE3D" w14:textId="77777777">
        <w:tc>
          <w:tcPr>
            <w:tcW w:w="8871" w:type="dxa"/>
            <w:tcMar>
              <w:bottom w:w="142" w:type="dxa"/>
            </w:tcMar>
          </w:tcPr>
          <w:p w14:paraId="600358AB" w14:textId="6A03E49F" w:rsidR="00455CE4" w:rsidRDefault="00455CE4">
            <w:pPr>
              <w:pStyle w:val="Heading3"/>
              <w:outlineLvl w:val="2"/>
              <w:rPr>
                <w:rFonts w:hint="eastAsia"/>
              </w:rPr>
            </w:pPr>
            <w:r>
              <w:t>recommendation</w:t>
            </w:r>
            <w:r w:rsidR="001E0799">
              <w:t xml:space="preserve"> 3</w:t>
            </w:r>
          </w:p>
          <w:p w14:paraId="7B6D70AF" w14:textId="7A68B7DE" w:rsidR="00455CE4" w:rsidRDefault="00291141">
            <w:pPr>
              <w:rPr>
                <w:rStyle w:val="PageNumber"/>
              </w:rPr>
            </w:pPr>
            <w:r>
              <w:rPr>
                <w:rStyle w:val="PageNumber"/>
              </w:rPr>
              <w:t>Provide information on the</w:t>
            </w:r>
            <w:r w:rsidR="00E926BA">
              <w:rPr>
                <w:rStyle w:val="PageNumber"/>
              </w:rPr>
              <w:t xml:space="preserve"> relevant pages of the</w:t>
            </w:r>
            <w:r>
              <w:rPr>
                <w:rStyle w:val="PageNumber"/>
              </w:rPr>
              <w:t xml:space="preserve"> Births, </w:t>
            </w:r>
            <w:proofErr w:type="gramStart"/>
            <w:r>
              <w:rPr>
                <w:rStyle w:val="PageNumber"/>
              </w:rPr>
              <w:t>Deaths</w:t>
            </w:r>
            <w:proofErr w:type="gramEnd"/>
            <w:r>
              <w:rPr>
                <w:rStyle w:val="PageNumber"/>
              </w:rPr>
              <w:t xml:space="preserve"> and Marriages website </w:t>
            </w:r>
            <w:r w:rsidR="00E926BA">
              <w:rPr>
                <w:rStyle w:val="PageNumber"/>
              </w:rPr>
              <w:t>about how support services</w:t>
            </w:r>
            <w:r w:rsidR="00DE1220">
              <w:rPr>
                <w:rStyle w:val="PageNumber"/>
              </w:rPr>
              <w:t xml:space="preserve"> (including legal support)</w:t>
            </w:r>
            <w:r w:rsidR="00E926BA">
              <w:rPr>
                <w:rStyle w:val="PageNumber"/>
              </w:rPr>
              <w:t xml:space="preserve"> can be accessed and applied for by young people</w:t>
            </w:r>
            <w:r w:rsidR="005750B1">
              <w:rPr>
                <w:rStyle w:val="PageNumber"/>
              </w:rPr>
              <w:t xml:space="preserve"> </w:t>
            </w:r>
            <w:r w:rsidR="001E3C5F">
              <w:rPr>
                <w:rStyle w:val="PageNumber"/>
              </w:rPr>
              <w:t xml:space="preserve">and their families </w:t>
            </w:r>
            <w:r w:rsidR="005750B1">
              <w:rPr>
                <w:rStyle w:val="PageNumber"/>
              </w:rPr>
              <w:t xml:space="preserve">seeking to update </w:t>
            </w:r>
            <w:r w:rsidR="001E3C5F">
              <w:rPr>
                <w:rStyle w:val="PageNumber"/>
              </w:rPr>
              <w:t xml:space="preserve">a young person’s </w:t>
            </w:r>
            <w:r w:rsidR="005750B1">
              <w:rPr>
                <w:rStyle w:val="PageNumber"/>
              </w:rPr>
              <w:t>gender</w:t>
            </w:r>
            <w:r w:rsidR="00DE1220">
              <w:rPr>
                <w:rStyle w:val="PageNumber"/>
              </w:rPr>
              <w:t xml:space="preserve"> on their birth certificate</w:t>
            </w:r>
            <w:r w:rsidR="005750B1">
              <w:rPr>
                <w:rStyle w:val="PageNumber"/>
              </w:rPr>
              <w:t>.</w:t>
            </w:r>
          </w:p>
        </w:tc>
      </w:tr>
    </w:tbl>
    <w:p w14:paraId="2F620348" w14:textId="0D8C13B8" w:rsidR="00077C3F" w:rsidRDefault="00EE4E40" w:rsidP="004655FD">
      <w:pPr>
        <w:pStyle w:val="Heading1"/>
      </w:pPr>
      <w:bookmarkStart w:id="9" w:name="_Toc124333217"/>
      <w:r>
        <w:t xml:space="preserve">Equal recognition and treatment </w:t>
      </w:r>
      <w:r w:rsidR="001E589F">
        <w:t>in other Queensland laws</w:t>
      </w:r>
      <w:bookmarkEnd w:id="9"/>
    </w:p>
    <w:p w14:paraId="08986EB4" w14:textId="086F0272" w:rsidR="0069535B" w:rsidRPr="0069535B" w:rsidRDefault="0069535B" w:rsidP="009852A6">
      <w:pPr>
        <w:pStyle w:val="Intro"/>
      </w:pPr>
      <w:r w:rsidRPr="0069535B">
        <w:rPr>
          <w:rStyle w:val="normaltextrun"/>
        </w:rPr>
        <w:t>Everyone should be recognised and treated equally under the law. </w:t>
      </w:r>
      <w:r w:rsidR="00D650BA">
        <w:rPr>
          <w:rStyle w:val="normaltextrun"/>
        </w:rPr>
        <w:t>For the most part,</w:t>
      </w:r>
      <w:r w:rsidR="00E067A5">
        <w:rPr>
          <w:rStyle w:val="normaltextrun"/>
        </w:rPr>
        <w:t xml:space="preserve"> </w:t>
      </w:r>
      <w:r w:rsidR="00D650BA">
        <w:rPr>
          <w:rStyle w:val="normaltextrun"/>
        </w:rPr>
        <w:t>t</w:t>
      </w:r>
      <w:r w:rsidR="001E589F">
        <w:rPr>
          <w:rStyle w:val="normaltextrun"/>
        </w:rPr>
        <w:t xml:space="preserve">his Bill will ensure </w:t>
      </w:r>
      <w:r w:rsidR="00D650BA">
        <w:rPr>
          <w:rStyle w:val="normaltextrun"/>
        </w:rPr>
        <w:t>that trans and gender diverse people are afforded the same rights and responsibilities</w:t>
      </w:r>
      <w:r w:rsidR="00A03DFB">
        <w:rPr>
          <w:rStyle w:val="normaltextrun"/>
        </w:rPr>
        <w:t xml:space="preserve"> under law</w:t>
      </w:r>
      <w:r w:rsidR="00F74FB5">
        <w:rPr>
          <w:rStyle w:val="normaltextrun"/>
        </w:rPr>
        <w:t>, regardless of their gender and</w:t>
      </w:r>
      <w:r w:rsidR="00F26E36">
        <w:rPr>
          <w:rStyle w:val="normaltextrun"/>
        </w:rPr>
        <w:t>/or</w:t>
      </w:r>
      <w:r w:rsidR="00F74FB5">
        <w:rPr>
          <w:rStyle w:val="normaltextrun"/>
        </w:rPr>
        <w:t xml:space="preserve"> sex characteristics. However, some Queensland</w:t>
      </w:r>
      <w:r w:rsidRPr="0069535B">
        <w:rPr>
          <w:rStyle w:val="normaltextrun"/>
        </w:rPr>
        <w:t xml:space="preserve"> laws use</w:t>
      </w:r>
      <w:r w:rsidR="000666EC">
        <w:rPr>
          <w:rStyle w:val="normaltextrun"/>
        </w:rPr>
        <w:t xml:space="preserve"> </w:t>
      </w:r>
      <w:r w:rsidRPr="0069535B">
        <w:rPr>
          <w:rStyle w:val="normaltextrun"/>
        </w:rPr>
        <w:t>terms that may exclude or disadvantage transgender and gender diverse people</w:t>
      </w:r>
      <w:r w:rsidR="00AB3E39">
        <w:rPr>
          <w:rStyle w:val="normaltextrun"/>
        </w:rPr>
        <w:t>. T</w:t>
      </w:r>
      <w:r w:rsidR="00230EF7">
        <w:rPr>
          <w:rStyle w:val="normaltextrun"/>
        </w:rPr>
        <w:t>hese laws should be reviewed</w:t>
      </w:r>
      <w:r w:rsidR="00F26E36">
        <w:rPr>
          <w:rStyle w:val="normaltextrun"/>
        </w:rPr>
        <w:t xml:space="preserve"> to ensure they are </w:t>
      </w:r>
      <w:r w:rsidR="008763B4">
        <w:rPr>
          <w:rStyle w:val="normaltextrun"/>
        </w:rPr>
        <w:t xml:space="preserve">amended </w:t>
      </w:r>
      <w:r w:rsidR="00AB3E39">
        <w:rPr>
          <w:rStyle w:val="normaltextrun"/>
        </w:rPr>
        <w:t>to treat everyone equally under the law, no matter their gender or sex characteristics</w:t>
      </w:r>
      <w:r w:rsidR="00124681">
        <w:rPr>
          <w:rStyle w:val="normaltextrun"/>
        </w:rPr>
        <w:t>.</w:t>
      </w:r>
    </w:p>
    <w:p w14:paraId="4A54C691" w14:textId="73B7AC0F" w:rsidR="005835AB" w:rsidRDefault="005835AB" w:rsidP="00E17E97">
      <w:r>
        <w:t xml:space="preserve">We welcome </w:t>
      </w:r>
      <w:r w:rsidR="00EA0E82">
        <w:t>section</w:t>
      </w:r>
      <w:r w:rsidR="00DE2E00">
        <w:t>s</w:t>
      </w:r>
      <w:r w:rsidR="00EA0E82">
        <w:t xml:space="preserve"> 47</w:t>
      </w:r>
      <w:r w:rsidR="008D33CB">
        <w:t>,</w:t>
      </w:r>
      <w:r w:rsidR="00DE2E00">
        <w:t xml:space="preserve"> </w:t>
      </w:r>
      <w:r w:rsidR="00F715D2">
        <w:t>58</w:t>
      </w:r>
      <w:r w:rsidR="008D33CB">
        <w:t xml:space="preserve"> and 128</w:t>
      </w:r>
      <w:r w:rsidR="00DE2E00">
        <w:t xml:space="preserve"> </w:t>
      </w:r>
      <w:r w:rsidR="00EA0E82">
        <w:t xml:space="preserve">of the Bill </w:t>
      </w:r>
      <w:r w:rsidR="00DE2E00">
        <w:t>that clarify that, unless a contrary intention appl</w:t>
      </w:r>
      <w:r w:rsidR="00124681">
        <w:t>ies</w:t>
      </w:r>
      <w:r w:rsidR="00DE2E00">
        <w:t xml:space="preserve">, trans and gender diverse people </w:t>
      </w:r>
      <w:r w:rsidR="00252E56">
        <w:t>should</w:t>
      </w:r>
      <w:r w:rsidR="00DE2E00">
        <w:t xml:space="preserve"> be recognised under Queensland law</w:t>
      </w:r>
      <w:r w:rsidR="001D7EA0">
        <w:t xml:space="preserve"> </w:t>
      </w:r>
      <w:r w:rsidR="00252E56">
        <w:t>in</w:t>
      </w:r>
      <w:r w:rsidR="001D7EA0">
        <w:t xml:space="preserve"> their recognised gender. This section also </w:t>
      </w:r>
      <w:r w:rsidR="00915510">
        <w:t xml:space="preserve">sits alongside section 32B of the </w:t>
      </w:r>
      <w:r w:rsidR="00915510">
        <w:rPr>
          <w:i/>
          <w:iCs/>
        </w:rPr>
        <w:t xml:space="preserve">Acts Interpretation Act 1954 </w:t>
      </w:r>
      <w:r w:rsidR="00915510">
        <w:t>(Qld) which helps to ensure that gendered references in law are interpreted to apply to people of all genders.</w:t>
      </w:r>
    </w:p>
    <w:p w14:paraId="2B5F33E3" w14:textId="753F03BC" w:rsidR="00915510" w:rsidRDefault="00915510" w:rsidP="00E17E97">
      <w:r>
        <w:t xml:space="preserve">While these provisions are </w:t>
      </w:r>
      <w:r w:rsidR="00AD4A98">
        <w:t xml:space="preserve">significant in ensuring trans and gender diverse people are recognised and treated equally </w:t>
      </w:r>
      <w:r w:rsidR="00191ECD">
        <w:t>under Queensland law, they do not always provide certainty – particularly w</w:t>
      </w:r>
      <w:r w:rsidR="00984BC3">
        <w:t>hen</w:t>
      </w:r>
      <w:r w:rsidR="00191ECD">
        <w:t xml:space="preserve"> the terms used in those laws may be </w:t>
      </w:r>
      <w:r w:rsidR="00984BC3">
        <w:t>intentionally</w:t>
      </w:r>
      <w:r w:rsidR="00F801FA">
        <w:t xml:space="preserve"> gendered or</w:t>
      </w:r>
      <w:r w:rsidR="008F71D7">
        <w:t xml:space="preserve"> </w:t>
      </w:r>
      <w:r w:rsidR="00984BC3">
        <w:t>refer to sex characteristics or functions</w:t>
      </w:r>
      <w:r w:rsidR="008F71D7">
        <w:t xml:space="preserve"> in gendered ways</w:t>
      </w:r>
      <w:r w:rsidR="00984BC3">
        <w:t xml:space="preserve">. </w:t>
      </w:r>
      <w:r w:rsidR="00675BD4">
        <w:t xml:space="preserve">They may also not assist trans and gender diverse people who have not yet updated their </w:t>
      </w:r>
      <w:r w:rsidR="00CF29B9">
        <w:t xml:space="preserve">legal </w:t>
      </w:r>
      <w:r w:rsidR="00675BD4">
        <w:t xml:space="preserve">gender by the time they are confronted by circumstances </w:t>
      </w:r>
      <w:r w:rsidR="00CF29B9">
        <w:t xml:space="preserve">covered in </w:t>
      </w:r>
      <w:r w:rsidR="00DF04B3">
        <w:t>these</w:t>
      </w:r>
      <w:r w:rsidR="00CF29B9">
        <w:t xml:space="preserve"> other Queensland laws.</w:t>
      </w:r>
    </w:p>
    <w:p w14:paraId="2EF57179" w14:textId="4937A234" w:rsidR="00E17E97" w:rsidRDefault="0026610F" w:rsidP="00E17E97">
      <w:r>
        <w:t>For example, Queensland</w:t>
      </w:r>
      <w:r w:rsidR="00574BD9">
        <w:t xml:space="preserve"> laws that use gender specific language or language that makes gendered assumptions about a person based on sex characteristics and functions</w:t>
      </w:r>
      <w:r w:rsidR="00AB58AD">
        <w:t xml:space="preserve"> include</w:t>
      </w:r>
      <w:r w:rsidR="00E17E97">
        <w:t xml:space="preserve">: </w:t>
      </w:r>
    </w:p>
    <w:p w14:paraId="2E6A60C7" w14:textId="57CE90CC" w:rsidR="00AC78DA" w:rsidRPr="0095755C" w:rsidRDefault="00F07617" w:rsidP="00AC78DA">
      <w:pPr>
        <w:pStyle w:val="Bullet"/>
        <w:rPr>
          <w:rStyle w:val="normaltextrun"/>
        </w:rPr>
      </w:pPr>
      <w:r>
        <w:rPr>
          <w:rStyle w:val="BookTitle"/>
          <w:b w:val="0"/>
          <w:bCs w:val="0"/>
          <w:i w:val="0"/>
          <w:iCs w:val="0"/>
          <w:spacing w:val="-2"/>
        </w:rPr>
        <w:t xml:space="preserve">Acts including </w:t>
      </w:r>
      <w:r w:rsidR="007457E1">
        <w:rPr>
          <w:rStyle w:val="BookTitle"/>
          <w:b w:val="0"/>
          <w:bCs w:val="0"/>
          <w:i w:val="0"/>
          <w:iCs w:val="0"/>
          <w:spacing w:val="-2"/>
        </w:rPr>
        <w:t>t</w:t>
      </w:r>
      <w:r w:rsidR="00B639F5">
        <w:rPr>
          <w:rStyle w:val="BookTitle"/>
          <w:b w:val="0"/>
          <w:bCs w:val="0"/>
          <w:i w:val="0"/>
          <w:iCs w:val="0"/>
          <w:spacing w:val="-2"/>
        </w:rPr>
        <w:t xml:space="preserve">he </w:t>
      </w:r>
      <w:r w:rsidR="003359DF">
        <w:rPr>
          <w:rStyle w:val="BookTitle"/>
          <w:b w:val="0"/>
          <w:bCs w:val="0"/>
          <w:spacing w:val="-2"/>
        </w:rPr>
        <w:t xml:space="preserve">Status of Children Act 1978 </w:t>
      </w:r>
      <w:r w:rsidR="003359DF">
        <w:rPr>
          <w:rStyle w:val="BookTitle"/>
          <w:b w:val="0"/>
          <w:bCs w:val="0"/>
          <w:i w:val="0"/>
          <w:iCs w:val="0"/>
          <w:spacing w:val="-2"/>
        </w:rPr>
        <w:t xml:space="preserve">(Qld) </w:t>
      </w:r>
      <w:r w:rsidR="003C1D9C">
        <w:rPr>
          <w:rStyle w:val="BookTitle"/>
          <w:b w:val="0"/>
          <w:bCs w:val="0"/>
          <w:i w:val="0"/>
          <w:iCs w:val="0"/>
          <w:spacing w:val="-2"/>
        </w:rPr>
        <w:t xml:space="preserve">and </w:t>
      </w:r>
      <w:r w:rsidR="003C1D9C">
        <w:rPr>
          <w:rStyle w:val="BookTitle"/>
          <w:b w:val="0"/>
          <w:bCs w:val="0"/>
          <w:spacing w:val="-2"/>
        </w:rPr>
        <w:t xml:space="preserve">Criminal Code </w:t>
      </w:r>
      <w:r w:rsidR="00AD3F94">
        <w:rPr>
          <w:rStyle w:val="BookTitle"/>
          <w:b w:val="0"/>
          <w:bCs w:val="0"/>
          <w:spacing w:val="-2"/>
        </w:rPr>
        <w:t xml:space="preserve">Act 1899 </w:t>
      </w:r>
      <w:r w:rsidR="00AD3F94">
        <w:rPr>
          <w:rStyle w:val="BookTitle"/>
          <w:b w:val="0"/>
          <w:bCs w:val="0"/>
          <w:i w:val="0"/>
          <w:iCs w:val="0"/>
          <w:spacing w:val="-2"/>
        </w:rPr>
        <w:t xml:space="preserve">(Qld) </w:t>
      </w:r>
      <w:r w:rsidR="00452AA0">
        <w:rPr>
          <w:rStyle w:val="BookTitle"/>
          <w:b w:val="0"/>
          <w:bCs w:val="0"/>
          <w:i w:val="0"/>
          <w:iCs w:val="0"/>
          <w:spacing w:val="-2"/>
        </w:rPr>
        <w:t xml:space="preserve">use </w:t>
      </w:r>
      <w:r w:rsidR="00AC78DA">
        <w:rPr>
          <w:rStyle w:val="BookTitle"/>
          <w:b w:val="0"/>
          <w:bCs w:val="0"/>
          <w:i w:val="0"/>
          <w:iCs w:val="0"/>
          <w:spacing w:val="-2"/>
        </w:rPr>
        <w:t xml:space="preserve">terms that make assumptions </w:t>
      </w:r>
      <w:r w:rsidR="00AC78DA">
        <w:rPr>
          <w:rStyle w:val="normaltextrun"/>
          <w:rFonts w:ascii="Overpass Light" w:hAnsi="Overpass Light"/>
          <w:color w:val="000000"/>
          <w:szCs w:val="18"/>
          <w:shd w:val="clear" w:color="auto" w:fill="FFFFFF"/>
        </w:rPr>
        <w:t xml:space="preserve">about a person’s bodily characteristics or </w:t>
      </w:r>
      <w:r w:rsidR="00DA6D77">
        <w:rPr>
          <w:rStyle w:val="normaltextrun"/>
          <w:rFonts w:ascii="Overpass Light" w:hAnsi="Overpass Light"/>
          <w:color w:val="000000"/>
          <w:szCs w:val="18"/>
          <w:shd w:val="clear" w:color="auto" w:fill="FFFFFF"/>
        </w:rPr>
        <w:t xml:space="preserve">sex-related bodily </w:t>
      </w:r>
      <w:r w:rsidR="00AC78DA">
        <w:rPr>
          <w:rStyle w:val="normaltextrun"/>
          <w:rFonts w:ascii="Overpass Light" w:hAnsi="Overpass Light"/>
          <w:color w:val="000000"/>
          <w:szCs w:val="18"/>
          <w:shd w:val="clear" w:color="auto" w:fill="FFFFFF"/>
        </w:rPr>
        <w:t>functions</w:t>
      </w:r>
      <w:r w:rsidR="0095755C">
        <w:rPr>
          <w:rStyle w:val="normaltextrun"/>
          <w:rFonts w:ascii="Overpass Light" w:hAnsi="Overpass Light"/>
          <w:color w:val="000000"/>
          <w:szCs w:val="18"/>
          <w:shd w:val="clear" w:color="auto" w:fill="FFFFFF"/>
        </w:rPr>
        <w:t xml:space="preserve"> (such as the ability to </w:t>
      </w:r>
      <w:r w:rsidR="00DA6D77">
        <w:rPr>
          <w:rStyle w:val="normaltextrun"/>
          <w:rFonts w:ascii="Overpass Light" w:hAnsi="Overpass Light"/>
          <w:color w:val="000000"/>
          <w:szCs w:val="18"/>
          <w:shd w:val="clear" w:color="auto" w:fill="FFFFFF"/>
        </w:rPr>
        <w:t>bear children)</w:t>
      </w:r>
      <w:r w:rsidR="00AC78DA">
        <w:rPr>
          <w:rStyle w:val="normaltextrun"/>
          <w:rFonts w:ascii="Overpass Light" w:hAnsi="Overpass Light"/>
          <w:color w:val="000000"/>
          <w:szCs w:val="18"/>
          <w:shd w:val="clear" w:color="auto" w:fill="FFFFFF"/>
        </w:rPr>
        <w:t xml:space="preserve"> based on their gender, and therefore may discriminate </w:t>
      </w:r>
      <w:r w:rsidR="009D3E2B">
        <w:rPr>
          <w:rStyle w:val="normaltextrun"/>
          <w:rFonts w:ascii="Overpass Light" w:hAnsi="Overpass Light"/>
          <w:color w:val="000000"/>
          <w:szCs w:val="18"/>
          <w:shd w:val="clear" w:color="auto" w:fill="FFFFFF"/>
        </w:rPr>
        <w:t xml:space="preserve">or disadvantage </w:t>
      </w:r>
      <w:r w:rsidR="00AC78DA">
        <w:rPr>
          <w:rStyle w:val="normaltextrun"/>
          <w:rFonts w:ascii="Overpass Light" w:hAnsi="Overpass Light"/>
          <w:color w:val="000000"/>
          <w:szCs w:val="18"/>
          <w:shd w:val="clear" w:color="auto" w:fill="FFFFFF"/>
        </w:rPr>
        <w:t xml:space="preserve">trans and gender diverse people (e.g. </w:t>
      </w:r>
      <w:r w:rsidR="00725D23">
        <w:rPr>
          <w:rStyle w:val="normaltextrun"/>
          <w:rFonts w:ascii="Overpass Light" w:hAnsi="Overpass Light"/>
          <w:color w:val="000000"/>
          <w:szCs w:val="18"/>
          <w:shd w:val="clear" w:color="auto" w:fill="FFFFFF"/>
        </w:rPr>
        <w:t xml:space="preserve">references to </w:t>
      </w:r>
      <w:r w:rsidR="00AC78DA">
        <w:rPr>
          <w:rStyle w:val="normaltextrun"/>
          <w:rFonts w:ascii="Overpass Light" w:hAnsi="Overpass Light"/>
          <w:color w:val="000000"/>
          <w:szCs w:val="18"/>
          <w:shd w:val="clear" w:color="auto" w:fill="FFFFFF"/>
        </w:rPr>
        <w:t>‘</w:t>
      </w:r>
      <w:r w:rsidR="003359DF">
        <w:rPr>
          <w:rStyle w:val="normaltextrun"/>
          <w:rFonts w:ascii="Overpass Light" w:hAnsi="Overpass Light"/>
          <w:color w:val="000000"/>
          <w:szCs w:val="18"/>
          <w:shd w:val="clear" w:color="auto" w:fill="FFFFFF"/>
        </w:rPr>
        <w:t xml:space="preserve">paternity’, </w:t>
      </w:r>
      <w:r w:rsidR="00871E90">
        <w:rPr>
          <w:rStyle w:val="normaltextrun"/>
          <w:rFonts w:ascii="Overpass Light" w:hAnsi="Overpass Light"/>
          <w:color w:val="000000"/>
          <w:szCs w:val="18"/>
          <w:shd w:val="clear" w:color="auto" w:fill="FFFFFF"/>
        </w:rPr>
        <w:t>women who give birth</w:t>
      </w:r>
      <w:r w:rsidR="0039529A">
        <w:rPr>
          <w:rStyle w:val="normaltextrun"/>
          <w:rFonts w:ascii="Overpass Light" w:hAnsi="Overpass Light"/>
          <w:color w:val="000000"/>
          <w:szCs w:val="18"/>
          <w:shd w:val="clear" w:color="auto" w:fill="FFFFFF"/>
        </w:rPr>
        <w:t xml:space="preserve"> with a male or female partner</w:t>
      </w:r>
      <w:r w:rsidR="00871E90">
        <w:rPr>
          <w:rStyle w:val="normaltextrun"/>
          <w:rFonts w:ascii="Overpass Light" w:hAnsi="Overpass Light"/>
          <w:color w:val="000000"/>
          <w:szCs w:val="18"/>
          <w:shd w:val="clear" w:color="auto" w:fill="FFFFFF"/>
        </w:rPr>
        <w:t xml:space="preserve"> etc</w:t>
      </w:r>
      <w:r w:rsidR="007755F6">
        <w:rPr>
          <w:rStyle w:val="normaltextrun"/>
          <w:rFonts w:ascii="Overpass Light" w:hAnsi="Overpass Light"/>
          <w:color w:val="000000"/>
          <w:szCs w:val="18"/>
          <w:shd w:val="clear" w:color="auto" w:fill="FFFFFF"/>
        </w:rPr>
        <w:t xml:space="preserve">., references to ‘breasts’ </w:t>
      </w:r>
      <w:r w:rsidR="002522A6">
        <w:rPr>
          <w:rStyle w:val="normaltextrun"/>
          <w:rFonts w:ascii="Overpass Light" w:hAnsi="Overpass Light"/>
          <w:color w:val="000000"/>
          <w:szCs w:val="18"/>
          <w:shd w:val="clear" w:color="auto" w:fill="FFFFFF"/>
        </w:rPr>
        <w:t>that exclude trans men and non-binary people</w:t>
      </w:r>
      <w:r w:rsidR="0081118A">
        <w:rPr>
          <w:rStyle w:val="normaltextrun"/>
          <w:rFonts w:ascii="Overpass Light" w:hAnsi="Overpass Light"/>
          <w:color w:val="000000"/>
          <w:szCs w:val="18"/>
          <w:shd w:val="clear" w:color="auto" w:fill="FFFFFF"/>
        </w:rPr>
        <w:t xml:space="preserve"> who may have similar sex characteristics</w:t>
      </w:r>
      <w:r w:rsidR="00AC78DA">
        <w:rPr>
          <w:rStyle w:val="normaltextrun"/>
          <w:rFonts w:ascii="Overpass Light" w:hAnsi="Overpass Light"/>
          <w:color w:val="000000"/>
          <w:szCs w:val="18"/>
          <w:shd w:val="clear" w:color="auto" w:fill="FFFFFF"/>
        </w:rPr>
        <w:t>)</w:t>
      </w:r>
      <w:r w:rsidR="00243D79">
        <w:rPr>
          <w:rStyle w:val="normaltextrun"/>
          <w:rFonts w:ascii="Overpass Light" w:hAnsi="Overpass Light"/>
          <w:color w:val="000000"/>
          <w:szCs w:val="18"/>
          <w:shd w:val="clear" w:color="auto" w:fill="FFFFFF"/>
        </w:rPr>
        <w:t>.</w:t>
      </w:r>
      <w:r w:rsidR="0095755C">
        <w:rPr>
          <w:rStyle w:val="normaltextrun"/>
          <w:rFonts w:ascii="Overpass Light" w:hAnsi="Overpass Light"/>
          <w:color w:val="000000"/>
          <w:szCs w:val="18"/>
          <w:shd w:val="clear" w:color="auto" w:fill="FFFFFF"/>
        </w:rPr>
        <w:t xml:space="preserve"> </w:t>
      </w:r>
    </w:p>
    <w:p w14:paraId="2DC83D85" w14:textId="535E89C5" w:rsidR="0095755C" w:rsidRDefault="0095755C" w:rsidP="0095755C">
      <w:pPr>
        <w:pStyle w:val="Bullet"/>
        <w:rPr>
          <w:rStyle w:val="BookTitle"/>
          <w:b w:val="0"/>
          <w:bCs w:val="0"/>
          <w:i w:val="0"/>
          <w:iCs w:val="0"/>
          <w:spacing w:val="-2"/>
        </w:rPr>
      </w:pPr>
      <w:r>
        <w:rPr>
          <w:rStyle w:val="BookTitle"/>
          <w:b w:val="0"/>
          <w:bCs w:val="0"/>
          <w:i w:val="0"/>
          <w:iCs w:val="0"/>
          <w:spacing w:val="-2"/>
        </w:rPr>
        <w:t xml:space="preserve">Acts such as the </w:t>
      </w:r>
      <w:r>
        <w:rPr>
          <w:rStyle w:val="BookTitle"/>
          <w:b w:val="0"/>
          <w:bCs w:val="0"/>
          <w:spacing w:val="-2"/>
        </w:rPr>
        <w:t>Electoral Act 1992</w:t>
      </w:r>
      <w:r>
        <w:rPr>
          <w:rStyle w:val="BookTitle"/>
          <w:b w:val="0"/>
          <w:bCs w:val="0"/>
          <w:i w:val="0"/>
          <w:iCs w:val="0"/>
          <w:spacing w:val="-2"/>
        </w:rPr>
        <w:t xml:space="preserve"> (Qld) </w:t>
      </w:r>
      <w:r w:rsidR="000C75F5">
        <w:rPr>
          <w:rStyle w:val="BookTitle"/>
          <w:b w:val="0"/>
          <w:bCs w:val="0"/>
          <w:i w:val="0"/>
          <w:iCs w:val="0"/>
          <w:spacing w:val="-2"/>
        </w:rPr>
        <w:t xml:space="preserve">and </w:t>
      </w:r>
      <w:r w:rsidR="000C75F5">
        <w:rPr>
          <w:rStyle w:val="BookTitle"/>
          <w:b w:val="0"/>
          <w:bCs w:val="0"/>
          <w:spacing w:val="-2"/>
        </w:rPr>
        <w:t xml:space="preserve">Succession Act 1981 </w:t>
      </w:r>
      <w:r w:rsidR="000C75F5">
        <w:rPr>
          <w:rStyle w:val="BookTitle"/>
          <w:b w:val="0"/>
          <w:bCs w:val="0"/>
          <w:i w:val="0"/>
          <w:iCs w:val="0"/>
          <w:spacing w:val="-2"/>
        </w:rPr>
        <w:t xml:space="preserve">(Qld) </w:t>
      </w:r>
      <w:r>
        <w:rPr>
          <w:rStyle w:val="BookTitle"/>
          <w:b w:val="0"/>
          <w:bCs w:val="0"/>
          <w:i w:val="0"/>
          <w:iCs w:val="0"/>
          <w:spacing w:val="-2"/>
        </w:rPr>
        <w:t xml:space="preserve">which use phrases that assumes a gender binary, such as </w:t>
      </w:r>
      <w:r w:rsidRPr="004655FD">
        <w:rPr>
          <w:rStyle w:val="BookTitle"/>
          <w:b w:val="0"/>
          <w:spacing w:val="-2"/>
        </w:rPr>
        <w:t>‘himself or herself’</w:t>
      </w:r>
      <w:r w:rsidR="000C75F5">
        <w:rPr>
          <w:rStyle w:val="BookTitle"/>
          <w:b w:val="0"/>
          <w:spacing w:val="-2"/>
        </w:rPr>
        <w:t xml:space="preserve"> </w:t>
      </w:r>
      <w:r w:rsidR="000C75F5">
        <w:rPr>
          <w:rStyle w:val="BookTitle"/>
          <w:b w:val="0"/>
          <w:i w:val="0"/>
          <w:iCs w:val="0"/>
          <w:spacing w:val="-2"/>
        </w:rPr>
        <w:t xml:space="preserve">and </w:t>
      </w:r>
      <w:r w:rsidR="000C75F5">
        <w:rPr>
          <w:rStyle w:val="BookTitle"/>
          <w:b w:val="0"/>
          <w:spacing w:val="-2"/>
        </w:rPr>
        <w:t xml:space="preserve">‘brothers and </w:t>
      </w:r>
      <w:proofErr w:type="gramStart"/>
      <w:r w:rsidR="000C75F5">
        <w:rPr>
          <w:rStyle w:val="BookTitle"/>
          <w:b w:val="0"/>
          <w:spacing w:val="-2"/>
        </w:rPr>
        <w:t>sisters’</w:t>
      </w:r>
      <w:proofErr w:type="gramEnd"/>
      <w:r>
        <w:rPr>
          <w:rStyle w:val="BookTitle"/>
          <w:b w:val="0"/>
          <w:bCs w:val="0"/>
          <w:i w:val="0"/>
          <w:iCs w:val="0"/>
          <w:spacing w:val="-2"/>
        </w:rPr>
        <w:t>.</w:t>
      </w:r>
    </w:p>
    <w:p w14:paraId="0FC9878B" w14:textId="6FB12500" w:rsidR="00E17E97" w:rsidRPr="005D45A0" w:rsidRDefault="00243D79" w:rsidP="00E17E97">
      <w:pPr>
        <w:pStyle w:val="Bullet"/>
        <w:rPr>
          <w:rStyle w:val="eop"/>
        </w:rPr>
      </w:pPr>
      <w:r>
        <w:rPr>
          <w:rStyle w:val="normaltextrun"/>
          <w:rFonts w:ascii="Overpass Light" w:hAnsi="Overpass Light"/>
          <w:color w:val="000000"/>
          <w:szCs w:val="18"/>
          <w:shd w:val="clear" w:color="auto" w:fill="FFFFFF"/>
        </w:rPr>
        <w:t xml:space="preserve">Acts including the </w:t>
      </w:r>
      <w:r w:rsidR="001F22C2">
        <w:rPr>
          <w:rStyle w:val="normaltextrun"/>
          <w:rFonts w:ascii="Overpass Light" w:hAnsi="Overpass Light"/>
          <w:i/>
          <w:iCs/>
          <w:color w:val="000000"/>
          <w:szCs w:val="18"/>
          <w:shd w:val="clear" w:color="auto" w:fill="FFFFFF"/>
        </w:rPr>
        <w:t>Police Powers and Responsibilities</w:t>
      </w:r>
      <w:r w:rsidR="00465ED4">
        <w:rPr>
          <w:rStyle w:val="normaltextrun"/>
          <w:rFonts w:ascii="Overpass Light" w:hAnsi="Overpass Light"/>
          <w:i/>
          <w:iCs/>
          <w:color w:val="000000"/>
          <w:szCs w:val="18"/>
          <w:shd w:val="clear" w:color="auto" w:fill="FFFFFF"/>
        </w:rPr>
        <w:t xml:space="preserve"> Act 2000</w:t>
      </w:r>
      <w:r w:rsidR="00465ED4">
        <w:rPr>
          <w:rStyle w:val="normaltextrun"/>
          <w:rFonts w:ascii="Overpass Light" w:hAnsi="Overpass Light"/>
          <w:color w:val="000000"/>
          <w:szCs w:val="18"/>
          <w:shd w:val="clear" w:color="auto" w:fill="FFFFFF"/>
        </w:rPr>
        <w:t xml:space="preserve"> (Qld)</w:t>
      </w:r>
      <w:r w:rsidR="00465ED4">
        <w:rPr>
          <w:rStyle w:val="normaltextrun"/>
          <w:rFonts w:ascii="Overpass Light" w:hAnsi="Overpass Light"/>
          <w:i/>
          <w:iCs/>
          <w:color w:val="000000"/>
          <w:szCs w:val="18"/>
          <w:shd w:val="clear" w:color="auto" w:fill="FFFFFF"/>
        </w:rPr>
        <w:t xml:space="preserve"> </w:t>
      </w:r>
      <w:r>
        <w:rPr>
          <w:rStyle w:val="normaltextrun"/>
          <w:rFonts w:ascii="Overpass Light" w:hAnsi="Overpass Light"/>
          <w:color w:val="000000"/>
          <w:szCs w:val="18"/>
          <w:shd w:val="clear" w:color="auto" w:fill="FFFFFF"/>
        </w:rPr>
        <w:t>us</w:t>
      </w:r>
      <w:r w:rsidR="00465ED4">
        <w:rPr>
          <w:rStyle w:val="normaltextrun"/>
          <w:rFonts w:ascii="Overpass Light" w:hAnsi="Overpass Light"/>
          <w:color w:val="000000"/>
          <w:szCs w:val="18"/>
          <w:shd w:val="clear" w:color="auto" w:fill="FFFFFF"/>
        </w:rPr>
        <w:t>e</w:t>
      </w:r>
      <w:r>
        <w:rPr>
          <w:rStyle w:val="normaltextrun"/>
          <w:rFonts w:ascii="Overpass Light" w:hAnsi="Overpass Light"/>
          <w:color w:val="000000"/>
          <w:szCs w:val="18"/>
          <w:shd w:val="clear" w:color="auto" w:fill="FFFFFF"/>
        </w:rPr>
        <w:t xml:space="preserve"> the terms ‘sex’ or ‘gender’ in way where it is unclear whether the term means a person’s sex registered at birth, their gender, or has some other legal meaning. This leaves transgender and gender diverse people vulnerable to discrimination because their right to be treated in accordance with their gender may be questioned.</w:t>
      </w:r>
    </w:p>
    <w:p w14:paraId="2ED15BAF" w14:textId="7C97C7D8" w:rsidR="00B35BF1" w:rsidRDefault="00B35BF1" w:rsidP="005D45A0">
      <w:pPr>
        <w:pStyle w:val="Bullet"/>
        <w:numPr>
          <w:ilvl w:val="0"/>
          <w:numId w:val="0"/>
        </w:numPr>
        <w:rPr>
          <w:rStyle w:val="eop"/>
          <w:rFonts w:ascii="Overpass Light" w:hAnsi="Overpass Light"/>
          <w:color w:val="000000"/>
          <w:szCs w:val="18"/>
          <w:shd w:val="clear" w:color="auto" w:fill="FFFFFF"/>
        </w:rPr>
      </w:pPr>
      <w:r>
        <w:rPr>
          <w:rStyle w:val="normaltextrun"/>
          <w:rFonts w:ascii="Overpass Light" w:hAnsi="Overpass Light"/>
          <w:color w:val="000000"/>
          <w:szCs w:val="18"/>
          <w:shd w:val="clear" w:color="auto" w:fill="FFFFFF"/>
        </w:rPr>
        <w:t xml:space="preserve">These areas of law and their practical application </w:t>
      </w:r>
      <w:r w:rsidR="008E416D">
        <w:rPr>
          <w:rStyle w:val="normaltextrun"/>
          <w:rFonts w:ascii="Overpass Light" w:hAnsi="Overpass Light"/>
          <w:color w:val="000000"/>
          <w:szCs w:val="18"/>
          <w:shd w:val="clear" w:color="auto" w:fill="FFFFFF"/>
        </w:rPr>
        <w:t>to trans and gender diverse people</w:t>
      </w:r>
      <w:r>
        <w:rPr>
          <w:rStyle w:val="normaltextrun"/>
          <w:rFonts w:ascii="Overpass Light" w:hAnsi="Overpass Light"/>
          <w:color w:val="000000"/>
          <w:szCs w:val="18"/>
          <w:shd w:val="clear" w:color="auto" w:fill="FFFFFF"/>
        </w:rPr>
        <w:t xml:space="preserve"> can be both uncertain and complex. </w:t>
      </w:r>
      <w:r w:rsidR="0027156B">
        <w:rPr>
          <w:rStyle w:val="normaltextrun"/>
          <w:rFonts w:ascii="Overpass Light" w:hAnsi="Overpass Light"/>
          <w:color w:val="000000"/>
          <w:szCs w:val="18"/>
          <w:shd w:val="clear" w:color="auto" w:fill="FFFFFF"/>
        </w:rPr>
        <w:t>Where there is ambiguity, a</w:t>
      </w:r>
      <w:r>
        <w:rPr>
          <w:rStyle w:val="normaltextrun"/>
          <w:rFonts w:ascii="Overpass Light" w:hAnsi="Overpass Light"/>
          <w:color w:val="000000"/>
          <w:szCs w:val="18"/>
          <w:shd w:val="clear" w:color="auto" w:fill="FFFFFF"/>
        </w:rPr>
        <w:t xml:space="preserve"> court </w:t>
      </w:r>
      <w:r w:rsidR="0027156B">
        <w:rPr>
          <w:rStyle w:val="normaltextrun"/>
          <w:rFonts w:ascii="Overpass Light" w:hAnsi="Overpass Light"/>
          <w:color w:val="000000"/>
          <w:szCs w:val="18"/>
          <w:shd w:val="clear" w:color="auto" w:fill="FFFFFF"/>
        </w:rPr>
        <w:t xml:space="preserve">may be required </w:t>
      </w:r>
      <w:r>
        <w:rPr>
          <w:rStyle w:val="normaltextrun"/>
          <w:rFonts w:ascii="Overpass Light" w:hAnsi="Overpass Light"/>
          <w:color w:val="000000"/>
          <w:szCs w:val="18"/>
          <w:shd w:val="clear" w:color="auto" w:fill="FFFFFF"/>
        </w:rPr>
        <w:t xml:space="preserve">to interpret each word or expression in a statute in a way which best gives it the meaning that parliament intended it to have.  </w:t>
      </w:r>
    </w:p>
    <w:p w14:paraId="7FA85D2A" w14:textId="05F446FD" w:rsidR="005D45A0" w:rsidRDefault="00AA6659" w:rsidP="005D45A0">
      <w:pPr>
        <w:pStyle w:val="Bullet"/>
        <w:numPr>
          <w:ilvl w:val="0"/>
          <w:numId w:val="0"/>
        </w:numPr>
        <w:rPr>
          <w:rStyle w:val="eop"/>
          <w:rFonts w:ascii="Overpass Light" w:hAnsi="Overpass Light"/>
          <w:color w:val="000000"/>
          <w:szCs w:val="18"/>
          <w:shd w:val="clear" w:color="auto" w:fill="FFFFFF"/>
        </w:rPr>
      </w:pPr>
      <w:r>
        <w:rPr>
          <w:rStyle w:val="eop"/>
          <w:rFonts w:ascii="Overpass Light" w:hAnsi="Overpass Light"/>
          <w:color w:val="000000"/>
          <w:szCs w:val="18"/>
          <w:shd w:val="clear" w:color="auto" w:fill="FFFFFF"/>
        </w:rPr>
        <w:t xml:space="preserve">In some circumstances, these provisions may be read inclusively because of </w:t>
      </w:r>
      <w:r w:rsidR="0086248A">
        <w:rPr>
          <w:rStyle w:val="eop"/>
          <w:rFonts w:ascii="Overpass Light" w:hAnsi="Overpass Light"/>
          <w:color w:val="000000"/>
          <w:szCs w:val="18"/>
          <w:shd w:val="clear" w:color="auto" w:fill="FFFFFF"/>
        </w:rPr>
        <w:t xml:space="preserve">section 32B of the </w:t>
      </w:r>
      <w:r w:rsidR="0086248A">
        <w:rPr>
          <w:rStyle w:val="eop"/>
          <w:rFonts w:ascii="Overpass Light" w:hAnsi="Overpass Light"/>
          <w:i/>
          <w:iCs/>
          <w:color w:val="000000"/>
          <w:szCs w:val="18"/>
          <w:shd w:val="clear" w:color="auto" w:fill="FFFFFF"/>
        </w:rPr>
        <w:t xml:space="preserve">Acts Interpretation Act </w:t>
      </w:r>
      <w:r w:rsidR="002A6883">
        <w:rPr>
          <w:rStyle w:val="eop"/>
          <w:rFonts w:ascii="Overpass Light" w:hAnsi="Overpass Light"/>
          <w:i/>
          <w:iCs/>
          <w:color w:val="000000"/>
          <w:szCs w:val="18"/>
          <w:shd w:val="clear" w:color="auto" w:fill="FFFFFF"/>
        </w:rPr>
        <w:t xml:space="preserve">1954 </w:t>
      </w:r>
      <w:r w:rsidR="002A6883">
        <w:rPr>
          <w:rStyle w:val="eop"/>
          <w:rFonts w:ascii="Overpass Light" w:hAnsi="Overpass Light"/>
          <w:color w:val="000000"/>
          <w:szCs w:val="18"/>
          <w:shd w:val="clear" w:color="auto" w:fill="FFFFFF"/>
        </w:rPr>
        <w:t>(Qld)</w:t>
      </w:r>
      <w:r w:rsidR="006D3A74">
        <w:rPr>
          <w:rStyle w:val="eop"/>
          <w:rFonts w:ascii="Overpass Light" w:hAnsi="Overpass Light"/>
          <w:color w:val="000000"/>
          <w:szCs w:val="18"/>
          <w:shd w:val="clear" w:color="auto" w:fill="FFFFFF"/>
        </w:rPr>
        <w:t xml:space="preserve"> and section</w:t>
      </w:r>
      <w:r w:rsidR="008B5BDB">
        <w:rPr>
          <w:rStyle w:val="eop"/>
          <w:rFonts w:ascii="Overpass Light" w:hAnsi="Overpass Light"/>
          <w:color w:val="000000"/>
          <w:szCs w:val="18"/>
          <w:shd w:val="clear" w:color="auto" w:fill="FFFFFF"/>
        </w:rPr>
        <w:t>s</w:t>
      </w:r>
      <w:r w:rsidR="006D3A74">
        <w:rPr>
          <w:rStyle w:val="eop"/>
          <w:rFonts w:ascii="Overpass Light" w:hAnsi="Overpass Light"/>
          <w:color w:val="000000"/>
          <w:szCs w:val="18"/>
          <w:shd w:val="clear" w:color="auto" w:fill="FFFFFF"/>
        </w:rPr>
        <w:t xml:space="preserve"> 47</w:t>
      </w:r>
      <w:r w:rsidR="008D33CB">
        <w:rPr>
          <w:rStyle w:val="eop"/>
          <w:rFonts w:ascii="Overpass Light" w:hAnsi="Overpass Light"/>
          <w:color w:val="000000"/>
          <w:szCs w:val="18"/>
          <w:shd w:val="clear" w:color="auto" w:fill="FFFFFF"/>
        </w:rPr>
        <w:t>,</w:t>
      </w:r>
      <w:r w:rsidR="008B5BDB">
        <w:rPr>
          <w:rStyle w:val="eop"/>
          <w:rFonts w:ascii="Overpass Light" w:hAnsi="Overpass Light"/>
          <w:color w:val="000000"/>
          <w:szCs w:val="18"/>
          <w:shd w:val="clear" w:color="auto" w:fill="FFFFFF"/>
        </w:rPr>
        <w:t xml:space="preserve"> </w:t>
      </w:r>
      <w:r w:rsidR="00F715D2">
        <w:rPr>
          <w:rStyle w:val="eop"/>
          <w:rFonts w:ascii="Overpass Light" w:hAnsi="Overpass Light"/>
          <w:color w:val="000000"/>
          <w:szCs w:val="18"/>
          <w:shd w:val="clear" w:color="auto" w:fill="FFFFFF"/>
        </w:rPr>
        <w:t>58</w:t>
      </w:r>
      <w:r w:rsidR="008D33CB">
        <w:rPr>
          <w:rStyle w:val="eop"/>
          <w:rFonts w:ascii="Overpass Light" w:hAnsi="Overpass Light"/>
          <w:color w:val="000000"/>
          <w:szCs w:val="18"/>
          <w:shd w:val="clear" w:color="auto" w:fill="FFFFFF"/>
        </w:rPr>
        <w:t xml:space="preserve"> and 128</w:t>
      </w:r>
      <w:r w:rsidR="00DE0559">
        <w:rPr>
          <w:rStyle w:val="eop"/>
          <w:rFonts w:ascii="Overpass Light" w:hAnsi="Overpass Light"/>
          <w:color w:val="000000"/>
          <w:szCs w:val="18"/>
          <w:shd w:val="clear" w:color="auto" w:fill="FFFFFF"/>
        </w:rPr>
        <w:t xml:space="preserve"> of the Bill</w:t>
      </w:r>
      <w:r w:rsidR="007F0525">
        <w:rPr>
          <w:rStyle w:val="eop"/>
          <w:rFonts w:ascii="Overpass Light" w:hAnsi="Overpass Light"/>
          <w:color w:val="000000"/>
          <w:szCs w:val="18"/>
          <w:shd w:val="clear" w:color="auto" w:fill="FFFFFF"/>
        </w:rPr>
        <w:t xml:space="preserve">. </w:t>
      </w:r>
      <w:r w:rsidR="00DE0559">
        <w:rPr>
          <w:rStyle w:val="eop"/>
          <w:rFonts w:ascii="Overpass Light" w:hAnsi="Overpass Light"/>
          <w:color w:val="000000"/>
          <w:szCs w:val="18"/>
          <w:shd w:val="clear" w:color="auto" w:fill="FFFFFF"/>
        </w:rPr>
        <w:t>However, t</w:t>
      </w:r>
      <w:r w:rsidR="007F0525">
        <w:rPr>
          <w:rStyle w:val="eop"/>
          <w:rFonts w:ascii="Overpass Light" w:hAnsi="Overpass Light"/>
          <w:color w:val="000000"/>
          <w:szCs w:val="18"/>
          <w:shd w:val="clear" w:color="auto" w:fill="FFFFFF"/>
        </w:rPr>
        <w:t xml:space="preserve">his will not </w:t>
      </w:r>
      <w:r w:rsidR="00331DB8">
        <w:rPr>
          <w:rStyle w:val="eop"/>
          <w:rFonts w:ascii="Overpass Light" w:hAnsi="Overpass Light"/>
          <w:color w:val="000000"/>
          <w:szCs w:val="18"/>
          <w:shd w:val="clear" w:color="auto" w:fill="FFFFFF"/>
        </w:rPr>
        <w:t xml:space="preserve">remove the lack of certainty, nor resolve the situation for </w:t>
      </w:r>
      <w:r w:rsidR="006F0423">
        <w:rPr>
          <w:rStyle w:val="eop"/>
          <w:rFonts w:ascii="Overpass Light" w:hAnsi="Overpass Light"/>
          <w:color w:val="000000"/>
          <w:szCs w:val="18"/>
          <w:shd w:val="clear" w:color="auto" w:fill="FFFFFF"/>
        </w:rPr>
        <w:t xml:space="preserve">trans and gender diverse </w:t>
      </w:r>
      <w:r w:rsidR="00331DB8">
        <w:rPr>
          <w:rStyle w:val="eop"/>
          <w:rFonts w:ascii="Overpass Light" w:hAnsi="Overpass Light"/>
          <w:color w:val="000000"/>
          <w:szCs w:val="18"/>
          <w:shd w:val="clear" w:color="auto" w:fill="FFFFFF"/>
        </w:rPr>
        <w:t xml:space="preserve">people who have not yet updated their </w:t>
      </w:r>
      <w:r w:rsidR="006D5A86">
        <w:rPr>
          <w:rStyle w:val="eop"/>
          <w:rFonts w:ascii="Overpass Light" w:hAnsi="Overpass Light"/>
          <w:color w:val="000000"/>
          <w:szCs w:val="18"/>
          <w:shd w:val="clear" w:color="auto" w:fill="FFFFFF"/>
        </w:rPr>
        <w:t xml:space="preserve">legal </w:t>
      </w:r>
      <w:r w:rsidR="00331DB8">
        <w:rPr>
          <w:rStyle w:val="eop"/>
          <w:rFonts w:ascii="Overpass Light" w:hAnsi="Overpass Light"/>
          <w:color w:val="000000"/>
          <w:szCs w:val="18"/>
          <w:shd w:val="clear" w:color="auto" w:fill="FFFFFF"/>
        </w:rPr>
        <w:t xml:space="preserve">gender. </w:t>
      </w:r>
    </w:p>
    <w:p w14:paraId="41E985AE" w14:textId="3A8F05E3" w:rsidR="00D25A82" w:rsidRDefault="00D25A82" w:rsidP="005D45A0">
      <w:pPr>
        <w:pStyle w:val="Bullet"/>
        <w:numPr>
          <w:ilvl w:val="0"/>
          <w:numId w:val="0"/>
        </w:numPr>
      </w:pPr>
      <w:r>
        <w:rPr>
          <w:rStyle w:val="eop"/>
          <w:rFonts w:ascii="Overpass Light" w:hAnsi="Overpass Light"/>
          <w:color w:val="000000"/>
          <w:szCs w:val="18"/>
          <w:shd w:val="clear" w:color="auto" w:fill="FFFFFF"/>
        </w:rPr>
        <w:lastRenderedPageBreak/>
        <w:t>Resolving these issues is complex and require</w:t>
      </w:r>
      <w:r w:rsidR="008B5BDB">
        <w:rPr>
          <w:rStyle w:val="eop"/>
          <w:rFonts w:ascii="Overpass Light" w:hAnsi="Overpass Light"/>
          <w:color w:val="000000"/>
          <w:szCs w:val="18"/>
          <w:shd w:val="clear" w:color="auto" w:fill="FFFFFF"/>
        </w:rPr>
        <w:t>s</w:t>
      </w:r>
      <w:r>
        <w:rPr>
          <w:rStyle w:val="eop"/>
          <w:rFonts w:ascii="Overpass Light" w:hAnsi="Overpass Light"/>
          <w:color w:val="000000"/>
          <w:szCs w:val="18"/>
          <w:shd w:val="clear" w:color="auto" w:fill="FFFFFF"/>
        </w:rPr>
        <w:t xml:space="preserve"> a</w:t>
      </w:r>
      <w:r w:rsidR="008B5BDB">
        <w:rPr>
          <w:rStyle w:val="eop"/>
          <w:rFonts w:ascii="Overpass Light" w:hAnsi="Overpass Light"/>
          <w:color w:val="000000"/>
          <w:szCs w:val="18"/>
          <w:shd w:val="clear" w:color="auto" w:fill="FFFFFF"/>
        </w:rPr>
        <w:t xml:space="preserve">n </w:t>
      </w:r>
      <w:r>
        <w:rPr>
          <w:rStyle w:val="eop"/>
          <w:rFonts w:ascii="Overpass Light" w:hAnsi="Overpass Light"/>
          <w:color w:val="000000"/>
          <w:szCs w:val="18"/>
          <w:shd w:val="clear" w:color="auto" w:fill="FFFFFF"/>
        </w:rPr>
        <w:t>audit of Queensland laws</w:t>
      </w:r>
      <w:r w:rsidR="00F435CF">
        <w:rPr>
          <w:rStyle w:val="eop"/>
          <w:rFonts w:ascii="Overpass Light" w:hAnsi="Overpass Light"/>
          <w:color w:val="000000"/>
          <w:szCs w:val="18"/>
          <w:shd w:val="clear" w:color="auto" w:fill="FFFFFF"/>
        </w:rPr>
        <w:t xml:space="preserve"> to first identify the laws in question and then to </w:t>
      </w:r>
      <w:r w:rsidR="0062516E">
        <w:rPr>
          <w:rStyle w:val="eop"/>
          <w:rFonts w:ascii="Overpass Light" w:hAnsi="Overpass Light"/>
          <w:color w:val="000000"/>
          <w:szCs w:val="18"/>
          <w:shd w:val="clear" w:color="auto" w:fill="FFFFFF"/>
        </w:rPr>
        <w:t>determine whether (and how best) to amend them</w:t>
      </w:r>
      <w:r w:rsidR="00414C6C">
        <w:rPr>
          <w:rStyle w:val="eop"/>
          <w:rFonts w:ascii="Overpass Light" w:hAnsi="Overpass Light"/>
          <w:color w:val="000000"/>
          <w:szCs w:val="18"/>
          <w:shd w:val="clear" w:color="auto" w:fill="FFFFFF"/>
        </w:rPr>
        <w:t xml:space="preserve"> so that </w:t>
      </w:r>
      <w:r w:rsidR="00430BBF">
        <w:rPr>
          <w:rStyle w:val="eop"/>
          <w:rFonts w:ascii="Overpass Light" w:hAnsi="Overpass Light"/>
          <w:color w:val="000000"/>
          <w:szCs w:val="18"/>
          <w:shd w:val="clear" w:color="auto" w:fill="FFFFFF"/>
        </w:rPr>
        <w:t>all</w:t>
      </w:r>
      <w:r w:rsidR="0079777C">
        <w:rPr>
          <w:rStyle w:val="eop"/>
          <w:rFonts w:ascii="Overpass Light" w:hAnsi="Overpass Light"/>
          <w:color w:val="000000"/>
          <w:szCs w:val="18"/>
          <w:shd w:val="clear" w:color="auto" w:fill="FFFFFF"/>
        </w:rPr>
        <w:t xml:space="preserve"> Queensland are </w:t>
      </w:r>
      <w:r w:rsidR="00430BBF">
        <w:rPr>
          <w:rStyle w:val="eop"/>
          <w:rFonts w:ascii="Overpass Light" w:hAnsi="Overpass Light"/>
          <w:color w:val="000000"/>
          <w:szCs w:val="18"/>
          <w:shd w:val="clear" w:color="auto" w:fill="FFFFFF"/>
        </w:rPr>
        <w:t>treated</w:t>
      </w:r>
      <w:r w:rsidR="0079777C">
        <w:rPr>
          <w:rStyle w:val="eop"/>
          <w:rFonts w:ascii="Overpass Light" w:hAnsi="Overpass Light"/>
          <w:color w:val="000000"/>
          <w:szCs w:val="18"/>
          <w:shd w:val="clear" w:color="auto" w:fill="FFFFFF"/>
        </w:rPr>
        <w:t xml:space="preserve"> equally </w:t>
      </w:r>
      <w:r w:rsidR="00430BBF">
        <w:rPr>
          <w:rStyle w:val="eop"/>
          <w:rFonts w:ascii="Overpass Light" w:hAnsi="Overpass Light"/>
          <w:color w:val="000000"/>
          <w:szCs w:val="18"/>
          <w:shd w:val="clear" w:color="auto" w:fill="FFFFFF"/>
        </w:rPr>
        <w:t>under the law, regard</w:t>
      </w:r>
      <w:r w:rsidR="0079777C">
        <w:rPr>
          <w:rStyle w:val="eop"/>
          <w:rFonts w:ascii="Overpass Light" w:hAnsi="Overpass Light"/>
          <w:color w:val="000000"/>
          <w:szCs w:val="18"/>
          <w:shd w:val="clear" w:color="auto" w:fill="FFFFFF"/>
        </w:rPr>
        <w:t xml:space="preserve"> </w:t>
      </w:r>
      <w:r w:rsidR="0079777C">
        <w:rPr>
          <w:rStyle w:val="PageNumber"/>
        </w:rPr>
        <w:t>regardless of their gender or sex characteristics</w:t>
      </w:r>
      <w:r w:rsidR="00900B24">
        <w:t>.</w:t>
      </w:r>
    </w:p>
    <w:p w14:paraId="02A42C05" w14:textId="16733F18" w:rsidR="00D85112" w:rsidRDefault="006E05F5" w:rsidP="005D45A0">
      <w:pPr>
        <w:pStyle w:val="Bullet"/>
        <w:numPr>
          <w:ilvl w:val="0"/>
          <w:numId w:val="0"/>
        </w:numPr>
      </w:pPr>
      <w:r>
        <w:t>An example of this is the Equality Australia LGBTIQ+ Legal Audit commissioned by the ACT Government.</w:t>
      </w:r>
      <w:r w:rsidR="007E23B2">
        <w:rPr>
          <w:rStyle w:val="FootnoteReference"/>
        </w:rPr>
        <w:footnoteReference w:id="22"/>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B06103" w14:paraId="4DE12134" w14:textId="77777777">
        <w:tc>
          <w:tcPr>
            <w:tcW w:w="8871" w:type="dxa"/>
            <w:tcMar>
              <w:bottom w:w="142" w:type="dxa"/>
            </w:tcMar>
          </w:tcPr>
          <w:p w14:paraId="64D3AC1F" w14:textId="7B965ACF" w:rsidR="00B06103" w:rsidRDefault="00B06103">
            <w:pPr>
              <w:pStyle w:val="Heading3"/>
              <w:outlineLvl w:val="2"/>
              <w:rPr>
                <w:rFonts w:hint="eastAsia"/>
              </w:rPr>
            </w:pPr>
            <w:r>
              <w:t>recommendation 4</w:t>
            </w:r>
          </w:p>
          <w:p w14:paraId="277EFDF3" w14:textId="2B4A5FCE" w:rsidR="00B06103" w:rsidRDefault="00430BBF">
            <w:pPr>
              <w:rPr>
                <w:rStyle w:val="PageNumber"/>
              </w:rPr>
            </w:pPr>
            <w:r>
              <w:rPr>
                <w:rStyle w:val="PageNumber"/>
              </w:rPr>
              <w:t xml:space="preserve">Audit Queensland laws that use gender-specific language or language that refers to people’s sex characteristics </w:t>
            </w:r>
            <w:r w:rsidR="00622E12">
              <w:rPr>
                <w:rStyle w:val="PageNumber"/>
              </w:rPr>
              <w:t xml:space="preserve">or sex-related bodily functions </w:t>
            </w:r>
            <w:r>
              <w:rPr>
                <w:rStyle w:val="PageNumber"/>
              </w:rPr>
              <w:t xml:space="preserve">to ensure all legal rights, entitlements, </w:t>
            </w:r>
            <w:proofErr w:type="gramStart"/>
            <w:r>
              <w:rPr>
                <w:rStyle w:val="PageNumber"/>
              </w:rPr>
              <w:t>privileges</w:t>
            </w:r>
            <w:proofErr w:type="gramEnd"/>
            <w:r>
              <w:rPr>
                <w:rStyle w:val="PageNumber"/>
              </w:rPr>
              <w:t xml:space="preserve"> and responsibilities are afforded equally to all Queenslanders, regardless of their gender or sex characteristics.  </w:t>
            </w:r>
          </w:p>
        </w:tc>
      </w:tr>
    </w:tbl>
    <w:p w14:paraId="1C713B38" w14:textId="75731AF1" w:rsidR="00217D10" w:rsidRDefault="006B576C" w:rsidP="004655FD">
      <w:pPr>
        <w:pStyle w:val="Heading1"/>
      </w:pPr>
      <w:bookmarkStart w:id="10" w:name="_Toc124333218"/>
      <w:r>
        <w:t>P</w:t>
      </w:r>
      <w:r w:rsidR="00217D10">
        <w:t>eople in custody</w:t>
      </w:r>
      <w:bookmarkEnd w:id="10"/>
    </w:p>
    <w:p w14:paraId="3EF98E3D" w14:textId="77777777" w:rsidR="00217D10" w:rsidRDefault="00217D10" w:rsidP="00217D10">
      <w:pPr>
        <w:pStyle w:val="Intro"/>
      </w:pPr>
      <w:r>
        <w:t>People in custody should be recognised for who they are and should not face unreasonable barriers to updating their gender.</w:t>
      </w:r>
    </w:p>
    <w:p w14:paraId="06D28B29" w14:textId="63B76AED" w:rsidR="00217D10" w:rsidRDefault="00217D10" w:rsidP="00217D10">
      <w:r>
        <w:t xml:space="preserve">The Bill requires people in custody in Queensland or people who have served a term of imprisonment for serious sexual offences to have written permission from the </w:t>
      </w:r>
      <w:r w:rsidR="00E06306">
        <w:t xml:space="preserve">Chief Executive, </w:t>
      </w:r>
      <w:r>
        <w:t>Queensland Corrective Services to update their gender or change their name. This is in line with the approach in Victoria,</w:t>
      </w:r>
      <w:r>
        <w:rPr>
          <w:rStyle w:val="FootnoteReference"/>
        </w:rPr>
        <w:footnoteReference w:id="23"/>
      </w:r>
      <w:r>
        <w:t xml:space="preserve"> but goes further than </w:t>
      </w:r>
      <w:r w:rsidR="00637F6C">
        <w:t>the requirements in</w:t>
      </w:r>
      <w:r>
        <w:t xml:space="preserve"> other states and territories. </w:t>
      </w:r>
    </w:p>
    <w:p w14:paraId="563164EE" w14:textId="77777777" w:rsidR="00217D10" w:rsidRDefault="00217D10" w:rsidP="00217D10">
      <w:r>
        <w:t xml:space="preserve">In South Australia, the Australian Capital Territory, Western </w:t>
      </w:r>
      <w:proofErr w:type="gramStart"/>
      <w:r>
        <w:t>Australia</w:t>
      </w:r>
      <w:proofErr w:type="gramEnd"/>
      <w:r>
        <w:t xml:space="preserve"> and New South Wales permission from a supervisory authority is only required for prisoners who are applying to change their name – with no requirement for those applying to update their gender.</w:t>
      </w:r>
      <w:r>
        <w:rPr>
          <w:rStyle w:val="FootnoteReference"/>
        </w:rPr>
        <w:footnoteReference w:id="24"/>
      </w:r>
      <w:r>
        <w:t xml:space="preserve"> In Tasmania and the Northern Territory, there is no requirement for permission for prisoners seeking to update their gender or change their name. </w:t>
      </w:r>
    </w:p>
    <w:p w14:paraId="14AB853B" w14:textId="5CAF48A9" w:rsidR="00A60931" w:rsidRDefault="0043402F" w:rsidP="00A10873">
      <w:pPr>
        <w:spacing w:before="0" w:after="160" w:line="259" w:lineRule="auto"/>
      </w:pPr>
      <w:r>
        <w:t>The Bill</w:t>
      </w:r>
      <w:r w:rsidR="00637F6C">
        <w:t xml:space="preserve"> already</w:t>
      </w:r>
      <w:r>
        <w:t xml:space="preserve"> provides</w:t>
      </w:r>
      <w:r w:rsidR="00E45812">
        <w:t xml:space="preserve"> that even where the </w:t>
      </w:r>
      <w:r w:rsidR="008D0642">
        <w:t>Chief Executive</w:t>
      </w:r>
      <w:r w:rsidR="00E45812">
        <w:t xml:space="preserve"> </w:t>
      </w:r>
      <w:r w:rsidR="00440265">
        <w:t xml:space="preserve">gives permission for </w:t>
      </w:r>
      <w:r w:rsidR="00CA3728">
        <w:t>a prisoner to update their gender</w:t>
      </w:r>
      <w:r w:rsidR="00F154E8">
        <w:t xml:space="preserve">, this does not </w:t>
      </w:r>
      <w:r w:rsidR="00C727E7">
        <w:t xml:space="preserve">alter the </w:t>
      </w:r>
      <w:r w:rsidR="008D0642">
        <w:t>Chief Executive</w:t>
      </w:r>
      <w:r w:rsidR="00E603C8">
        <w:t xml:space="preserve">’s </w:t>
      </w:r>
      <w:r w:rsidR="00E31584">
        <w:t>power</w:t>
      </w:r>
      <w:r w:rsidR="00C727E7">
        <w:t xml:space="preserve"> </w:t>
      </w:r>
      <w:r w:rsidR="00E603C8">
        <w:t>to</w:t>
      </w:r>
      <w:r w:rsidR="00C727E7">
        <w:t xml:space="preserve"> mak</w:t>
      </w:r>
      <w:r w:rsidR="00E603C8">
        <w:t>e</w:t>
      </w:r>
      <w:r w:rsidR="00C727E7">
        <w:t xml:space="preserve"> arrangements for the custody of the person</w:t>
      </w:r>
      <w:r w:rsidR="005F3525">
        <w:t>.</w:t>
      </w:r>
      <w:r w:rsidR="005B741B">
        <w:rPr>
          <w:rStyle w:val="FootnoteReference"/>
        </w:rPr>
        <w:footnoteReference w:id="25"/>
      </w:r>
      <w:r w:rsidR="005F3525">
        <w:t xml:space="preserve"> </w:t>
      </w:r>
      <w:r w:rsidR="00953A87">
        <w:t xml:space="preserve">Given </w:t>
      </w:r>
      <w:r w:rsidR="005954C0">
        <w:t xml:space="preserve">the Bill </w:t>
      </w:r>
      <w:r w:rsidR="0020080B">
        <w:t xml:space="preserve">already </w:t>
      </w:r>
      <w:r w:rsidR="005954C0">
        <w:t xml:space="preserve">makes clear that </w:t>
      </w:r>
      <w:r w:rsidR="00B21435">
        <w:t xml:space="preserve">a person’s legal gender </w:t>
      </w:r>
      <w:r w:rsidR="00C03E30">
        <w:t xml:space="preserve">will not necessarily affect the arrangements made for them in custody, </w:t>
      </w:r>
      <w:r>
        <w:t>we can</w:t>
      </w:r>
      <w:r w:rsidR="00845B9C">
        <w:t>not</w:t>
      </w:r>
      <w:r>
        <w:t xml:space="preserve"> see a </w:t>
      </w:r>
      <w:r w:rsidR="00E1161E">
        <w:t xml:space="preserve">policy </w:t>
      </w:r>
      <w:r>
        <w:t xml:space="preserve">basis upon which the </w:t>
      </w:r>
      <w:r w:rsidR="008D0642">
        <w:t>Chief Executive</w:t>
      </w:r>
      <w:r>
        <w:t xml:space="preserve"> should be able to deny a person recognition of their </w:t>
      </w:r>
      <w:r w:rsidR="0020080B">
        <w:t xml:space="preserve">legal </w:t>
      </w:r>
      <w:r>
        <w:t xml:space="preserve">gender. </w:t>
      </w:r>
      <w:r w:rsidR="00845B9C">
        <w:t xml:space="preserve">This is particularly so </w:t>
      </w:r>
      <w:r w:rsidR="001521BD">
        <w:t xml:space="preserve">as legal recognition may be the </w:t>
      </w:r>
      <w:r w:rsidR="009D7FE0">
        <w:t>only form of gender affirmation available to a person serving a custodial sentence.</w:t>
      </w:r>
      <w:r w:rsidR="00E02DB2">
        <w:t xml:space="preserve"> </w:t>
      </w:r>
    </w:p>
    <w:p w14:paraId="167B3960" w14:textId="53085A6E" w:rsidR="00A65286" w:rsidRDefault="00A60931" w:rsidP="00A10873">
      <w:pPr>
        <w:spacing w:before="0" w:after="160" w:line="259" w:lineRule="auto"/>
      </w:pPr>
      <w:r>
        <w:t>W</w:t>
      </w:r>
      <w:r w:rsidR="00207F9E">
        <w:t xml:space="preserve">e can </w:t>
      </w:r>
      <w:r w:rsidR="00E02DB2">
        <w:t xml:space="preserve">however </w:t>
      </w:r>
      <w:r w:rsidR="00207F9E">
        <w:t xml:space="preserve">see policy reasons for </w:t>
      </w:r>
      <w:r w:rsidR="008154F0">
        <w:t xml:space="preserve">oversight from the </w:t>
      </w:r>
      <w:r w:rsidR="008D0642">
        <w:t>Chief Executive</w:t>
      </w:r>
      <w:r w:rsidR="008154F0">
        <w:t xml:space="preserve"> where</w:t>
      </w:r>
      <w:r w:rsidR="00207F9E">
        <w:t xml:space="preserve"> </w:t>
      </w:r>
      <w:r w:rsidR="00E02DB2">
        <w:t xml:space="preserve">a prisoner </w:t>
      </w:r>
      <w:r w:rsidR="008154F0">
        <w:t xml:space="preserve">is seeking </w:t>
      </w:r>
      <w:r w:rsidR="00E02DB2">
        <w:t xml:space="preserve">to </w:t>
      </w:r>
      <w:r w:rsidR="00207F9E">
        <w:t xml:space="preserve">change </w:t>
      </w:r>
      <w:r w:rsidR="00E02DB2">
        <w:t xml:space="preserve">their </w:t>
      </w:r>
      <w:r w:rsidR="00207F9E">
        <w:t>name</w:t>
      </w:r>
      <w:r w:rsidR="00E02DB2">
        <w:t>,</w:t>
      </w:r>
      <w:r w:rsidR="00207F9E">
        <w:t xml:space="preserve"> given </w:t>
      </w:r>
      <w:r w:rsidR="00E02DB2">
        <w:t>the potential</w:t>
      </w:r>
      <w:r w:rsidR="00207F9E">
        <w:t xml:space="preserve"> impact on historical conviction records </w:t>
      </w:r>
      <w:r w:rsidR="00E96EEA">
        <w:t xml:space="preserve">and </w:t>
      </w:r>
      <w:r w:rsidR="00702248">
        <w:t>safeguards</w:t>
      </w:r>
      <w:r w:rsidR="00952C7D">
        <w:t xml:space="preserve"> that are currently in place</w:t>
      </w:r>
      <w:r w:rsidR="00702248">
        <w:t xml:space="preserve"> to protect the community against the risk of future offending or </w:t>
      </w:r>
      <w:r w:rsidR="00952C7D">
        <w:t xml:space="preserve">the </w:t>
      </w:r>
      <w:r w:rsidR="00702248">
        <w:t xml:space="preserve">concealment of </w:t>
      </w:r>
      <w:r w:rsidR="00952C7D">
        <w:t xml:space="preserve">past </w:t>
      </w:r>
      <w:r w:rsidR="00702248">
        <w:t>offending</w:t>
      </w:r>
      <w:r w:rsidR="00C00B32">
        <w:t xml:space="preserve">. For </w:t>
      </w:r>
      <w:r w:rsidR="00E02DB2">
        <w:t>this</w:t>
      </w:r>
      <w:r w:rsidR="00C00B32">
        <w:t xml:space="preserve"> reason, we suggest removing the requirement for</w:t>
      </w:r>
      <w:r w:rsidR="0043402F">
        <w:t xml:space="preserve"> </w:t>
      </w:r>
      <w:r w:rsidR="00E02DB2">
        <w:t xml:space="preserve">permission from the </w:t>
      </w:r>
      <w:r w:rsidR="008D0642">
        <w:t>Chief Executive</w:t>
      </w:r>
      <w:r w:rsidR="00E02DB2">
        <w:t xml:space="preserve"> </w:t>
      </w:r>
      <w:r w:rsidR="00D97B63">
        <w:t>before</w:t>
      </w:r>
      <w:r w:rsidR="00E850BB">
        <w:t xml:space="preserve"> a prisoner </w:t>
      </w:r>
      <w:r w:rsidR="00D97B63">
        <w:t>can</w:t>
      </w:r>
      <w:r w:rsidR="00E02DB2">
        <w:t xml:space="preserve"> update </w:t>
      </w:r>
      <w:r w:rsidR="00E850BB">
        <w:t>their legal gender</w:t>
      </w:r>
      <w:r w:rsidR="00FD5A5D">
        <w:t>, while maintaining the requirement for consent to a change of name</w:t>
      </w:r>
      <w:r w:rsidR="00755B2C">
        <w:t xml:space="preserve"> subject to the review mechanisms proposed by the Bill</w:t>
      </w:r>
      <w:r w:rsidR="00FD5A5D">
        <w:t>.</w:t>
      </w:r>
    </w:p>
    <w:p w14:paraId="21B9A1EE" w14:textId="03638AF9" w:rsidR="006A796C" w:rsidRDefault="00F21AB4" w:rsidP="00A10873">
      <w:pPr>
        <w:spacing w:before="0" w:after="160" w:line="259" w:lineRule="auto"/>
      </w:pPr>
      <w:r>
        <w:t>We recognise that this may only</w:t>
      </w:r>
      <w:r w:rsidR="00C00B32">
        <w:t xml:space="preserve"> remove the </w:t>
      </w:r>
      <w:r>
        <w:t>consent requirement</w:t>
      </w:r>
      <w:r w:rsidR="00C00B32">
        <w:t xml:space="preserve"> for </w:t>
      </w:r>
      <w:r>
        <w:t>a small number of prisoners as it is likely that most people will seek to change their name and update their gender simultaneously. It is therefore</w:t>
      </w:r>
      <w:r w:rsidR="00CC4F99">
        <w:t xml:space="preserve"> important that all prisoners are given legal support in the process of updating </w:t>
      </w:r>
      <w:r>
        <w:t xml:space="preserve">their </w:t>
      </w:r>
      <w:r w:rsidR="00CC4F99">
        <w:t>gender or changing their name to affirm their gender</w:t>
      </w:r>
      <w:r w:rsidR="00116B94">
        <w:t>,</w:t>
      </w:r>
      <w:r w:rsidR="00192494">
        <w:t xml:space="preserve"> and those who are denied </w:t>
      </w:r>
      <w:r w:rsidR="00C475B2">
        <w:t>permission</w:t>
      </w:r>
      <w:r w:rsidR="00192494">
        <w:t xml:space="preserve"> are supported to have their applications legally reviewed</w:t>
      </w:r>
      <w:r w:rsidR="00CC4F99">
        <w:t xml:space="preserve">. </w:t>
      </w:r>
      <w:r w:rsidR="006D5FBF">
        <w:lastRenderedPageBreak/>
        <w:t>A</w:t>
      </w:r>
      <w:r w:rsidR="00E60F85">
        <w:t>pplication</w:t>
      </w:r>
      <w:r w:rsidR="00746D86">
        <w:t>s</w:t>
      </w:r>
      <w:r w:rsidR="00E60F85">
        <w:t xml:space="preserve"> for </w:t>
      </w:r>
      <w:r w:rsidR="00217D10">
        <w:t xml:space="preserve">permission from the </w:t>
      </w:r>
      <w:r w:rsidR="008D0642">
        <w:t>Chief Executive</w:t>
      </w:r>
      <w:r w:rsidR="00E60F85">
        <w:t xml:space="preserve"> which are refused </w:t>
      </w:r>
      <w:r w:rsidR="00FE5942">
        <w:t xml:space="preserve">must </w:t>
      </w:r>
      <w:r w:rsidR="00A65286">
        <w:t xml:space="preserve">also </w:t>
      </w:r>
      <w:r w:rsidR="00FE5942">
        <w:t>be reviewed</w:t>
      </w:r>
      <w:r w:rsidR="002F48CA">
        <w:t xml:space="preserve"> periodically</w:t>
      </w:r>
      <w:r w:rsidR="00FE5942">
        <w:t xml:space="preserve"> to ensure that this requirement is not </w:t>
      </w:r>
      <w:r w:rsidR="00217D10">
        <w:t xml:space="preserve">unreasonably preventing people from </w:t>
      </w:r>
      <w:r w:rsidR="00604F59">
        <w:t>affirming</w:t>
      </w:r>
      <w:r w:rsidR="00217D10">
        <w:t xml:space="preserve"> their gender.</w:t>
      </w:r>
      <w:r w:rsidR="00746D86">
        <w:t xml:space="preserve"> </w:t>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6A796C" w14:paraId="61FC5679" w14:textId="77777777">
        <w:tc>
          <w:tcPr>
            <w:tcW w:w="8871" w:type="dxa"/>
            <w:tcMar>
              <w:bottom w:w="142" w:type="dxa"/>
            </w:tcMar>
          </w:tcPr>
          <w:p w14:paraId="6985E679" w14:textId="57A67A59" w:rsidR="006A796C" w:rsidRPr="00576432" w:rsidRDefault="006A796C">
            <w:pPr>
              <w:pStyle w:val="Heading3"/>
              <w:outlineLvl w:val="2"/>
              <w:rPr>
                <w:rFonts w:hint="eastAsia"/>
              </w:rPr>
            </w:pPr>
            <w:r w:rsidRPr="00576432">
              <w:t xml:space="preserve">recommendation </w:t>
            </w:r>
            <w:r w:rsidR="00AB7BDE" w:rsidRPr="00576432">
              <w:t>5</w:t>
            </w:r>
          </w:p>
          <w:p w14:paraId="633F51AB" w14:textId="6F470834" w:rsidR="00192494" w:rsidRDefault="00DA5513">
            <w:pPr>
              <w:rPr>
                <w:rStyle w:val="PageNumber"/>
              </w:rPr>
            </w:pPr>
            <w:r>
              <w:rPr>
                <w:rStyle w:val="PageNumber"/>
              </w:rPr>
              <w:t>Consistent with most other jurisdictions, r</w:t>
            </w:r>
            <w:r w:rsidR="00192494">
              <w:rPr>
                <w:rStyle w:val="PageNumber"/>
              </w:rPr>
              <w:t xml:space="preserve">emove the requirement for </w:t>
            </w:r>
            <w:r w:rsidR="00CA4C71">
              <w:rPr>
                <w:rStyle w:val="PageNumber"/>
              </w:rPr>
              <w:t xml:space="preserve">permission from the </w:t>
            </w:r>
            <w:r w:rsidR="008D0642">
              <w:rPr>
                <w:rStyle w:val="PageNumber"/>
              </w:rPr>
              <w:t xml:space="preserve">Chief Executive, Queensland </w:t>
            </w:r>
            <w:r w:rsidR="00CA4C71">
              <w:rPr>
                <w:rStyle w:val="PageNumber"/>
              </w:rPr>
              <w:t xml:space="preserve">Corrective Services </w:t>
            </w:r>
            <w:r w:rsidR="005C56FB">
              <w:rPr>
                <w:rStyle w:val="PageNumber"/>
              </w:rPr>
              <w:t xml:space="preserve">where </w:t>
            </w:r>
            <w:r w:rsidR="004864ED">
              <w:rPr>
                <w:rStyle w:val="PageNumber"/>
              </w:rPr>
              <w:t xml:space="preserve">a prisoner is </w:t>
            </w:r>
            <w:r w:rsidR="00CA4C71">
              <w:rPr>
                <w:rStyle w:val="PageNumber"/>
              </w:rPr>
              <w:t xml:space="preserve">only </w:t>
            </w:r>
            <w:r w:rsidR="005A5466">
              <w:rPr>
                <w:rStyle w:val="PageNumber"/>
              </w:rPr>
              <w:t>applying</w:t>
            </w:r>
            <w:r w:rsidR="00CA4C71">
              <w:rPr>
                <w:rStyle w:val="PageNumber"/>
              </w:rPr>
              <w:t xml:space="preserve"> to </w:t>
            </w:r>
            <w:r w:rsidR="005A5466">
              <w:rPr>
                <w:rStyle w:val="PageNumber"/>
              </w:rPr>
              <w:t>update</w:t>
            </w:r>
            <w:r w:rsidR="00CA4C71">
              <w:rPr>
                <w:rStyle w:val="PageNumber"/>
              </w:rPr>
              <w:t xml:space="preserve"> </w:t>
            </w:r>
            <w:r w:rsidR="004864ED">
              <w:rPr>
                <w:rStyle w:val="PageNumber"/>
              </w:rPr>
              <w:t>their</w:t>
            </w:r>
            <w:r w:rsidR="00CA4C71">
              <w:rPr>
                <w:rStyle w:val="PageNumber"/>
              </w:rPr>
              <w:t xml:space="preserve"> gender</w:t>
            </w:r>
            <w:r w:rsidR="005A5466">
              <w:rPr>
                <w:rStyle w:val="PageNumber"/>
              </w:rPr>
              <w:t xml:space="preserve"> and not </w:t>
            </w:r>
            <w:r w:rsidR="00CA4C71">
              <w:rPr>
                <w:rStyle w:val="PageNumber"/>
              </w:rPr>
              <w:t xml:space="preserve">change </w:t>
            </w:r>
            <w:r w:rsidR="004864ED">
              <w:rPr>
                <w:rStyle w:val="PageNumber"/>
              </w:rPr>
              <w:t>their</w:t>
            </w:r>
            <w:r w:rsidR="00CA4C71">
              <w:rPr>
                <w:rStyle w:val="PageNumber"/>
              </w:rPr>
              <w:t xml:space="preserve"> </w:t>
            </w:r>
            <w:r w:rsidR="005A5466">
              <w:rPr>
                <w:rStyle w:val="PageNumber"/>
              </w:rPr>
              <w:t xml:space="preserve">name. </w:t>
            </w:r>
          </w:p>
          <w:p w14:paraId="50E7A6F1" w14:textId="4FF61F65" w:rsidR="00554026" w:rsidRDefault="00AA367A">
            <w:pPr>
              <w:rPr>
                <w:rStyle w:val="PageNumber"/>
              </w:rPr>
            </w:pPr>
            <w:r w:rsidRPr="00576432">
              <w:rPr>
                <w:rStyle w:val="PageNumber"/>
              </w:rPr>
              <w:t xml:space="preserve">Ensure prisoners who have been denied </w:t>
            </w:r>
            <w:r w:rsidR="006828B1">
              <w:rPr>
                <w:rStyle w:val="PageNumber"/>
              </w:rPr>
              <w:t>permission</w:t>
            </w:r>
            <w:r w:rsidRPr="00576432">
              <w:rPr>
                <w:rStyle w:val="PageNumber"/>
              </w:rPr>
              <w:t xml:space="preserve"> by the </w:t>
            </w:r>
            <w:r w:rsidR="008D0642">
              <w:rPr>
                <w:rStyle w:val="PageNumber"/>
              </w:rPr>
              <w:t xml:space="preserve">Chief Executive, Queensland </w:t>
            </w:r>
            <w:r w:rsidRPr="00576432">
              <w:rPr>
                <w:rStyle w:val="PageNumber"/>
              </w:rPr>
              <w:t xml:space="preserve">Corrective Services </w:t>
            </w:r>
            <w:r w:rsidR="00E82642" w:rsidRPr="00576432">
              <w:rPr>
                <w:rStyle w:val="PageNumber"/>
              </w:rPr>
              <w:t xml:space="preserve">to </w:t>
            </w:r>
            <w:r w:rsidR="00594D3A" w:rsidRPr="00576432">
              <w:rPr>
                <w:rStyle w:val="PageNumber"/>
              </w:rPr>
              <w:t>have</w:t>
            </w:r>
            <w:r w:rsidR="005E6FC5" w:rsidRPr="00576432">
              <w:rPr>
                <w:rStyle w:val="PageNumber"/>
              </w:rPr>
              <w:t xml:space="preserve"> their </w:t>
            </w:r>
            <w:r w:rsidR="00C475B2">
              <w:rPr>
                <w:rStyle w:val="PageNumber"/>
              </w:rPr>
              <w:t xml:space="preserve">name changed </w:t>
            </w:r>
            <w:r w:rsidR="00E82642" w:rsidRPr="00576432">
              <w:rPr>
                <w:rStyle w:val="PageNumber"/>
              </w:rPr>
              <w:t>are afforded legal support to have their applications legally reviewed.</w:t>
            </w:r>
            <w:r w:rsidR="006A796C">
              <w:rPr>
                <w:rStyle w:val="PageNumber"/>
              </w:rPr>
              <w:t xml:space="preserve">  </w:t>
            </w:r>
          </w:p>
        </w:tc>
      </w:tr>
    </w:tbl>
    <w:p w14:paraId="2583D255" w14:textId="6D9568AB" w:rsidR="00333721" w:rsidRDefault="005D6F01" w:rsidP="00333721">
      <w:pPr>
        <w:pStyle w:val="Heading1"/>
        <w:rPr>
          <w:rStyle w:val="eop"/>
          <w:rFonts w:ascii="Overpass Light" w:hAnsi="Overpass Light" w:hint="eastAsia"/>
          <w:color w:val="000000"/>
          <w:szCs w:val="18"/>
          <w:shd w:val="clear" w:color="auto" w:fill="FFFFFF"/>
        </w:rPr>
      </w:pPr>
      <w:bookmarkStart w:id="11" w:name="_Toc124333219"/>
      <w:r>
        <w:rPr>
          <w:rStyle w:val="eop"/>
          <w:rFonts w:ascii="Overpass Light" w:hAnsi="Overpass Light"/>
          <w:color w:val="000000"/>
          <w:szCs w:val="18"/>
          <w:shd w:val="clear" w:color="auto" w:fill="FFFFFF"/>
        </w:rPr>
        <w:t>Amendments to the Anti-Discrimination Act</w:t>
      </w:r>
      <w:bookmarkEnd w:id="11"/>
    </w:p>
    <w:p w14:paraId="4D28DADF" w14:textId="77777777" w:rsidR="00333721" w:rsidRDefault="00333721" w:rsidP="00333721">
      <w:pPr>
        <w:pStyle w:val="Intro"/>
      </w:pPr>
      <w:r>
        <w:t>Apart from allowing trans and gender diverse people to update their legal gender, this Bill also ensures they – and intersex people – are better protected from discrimination.</w:t>
      </w:r>
    </w:p>
    <w:p w14:paraId="33618E9B" w14:textId="77777777" w:rsidR="00333721" w:rsidRDefault="00333721" w:rsidP="00333721">
      <w:r>
        <w:t xml:space="preserve">The Bill introduces an updated definition of ‘gender identity’ and ‘sex characteristics’ into the </w:t>
      </w:r>
      <w:r w:rsidRPr="00580172">
        <w:rPr>
          <w:i/>
          <w:iCs/>
        </w:rPr>
        <w:t>Anti-Discrimination Act</w:t>
      </w:r>
      <w:r>
        <w:rPr>
          <w:i/>
          <w:iCs/>
        </w:rPr>
        <w:t xml:space="preserve"> 1991 </w:t>
      </w:r>
      <w:r>
        <w:t xml:space="preserve">(Qld), aimed at better protecting protect trans, gender diverse and intersex people from discrimination. </w:t>
      </w:r>
    </w:p>
    <w:p w14:paraId="40A891DF" w14:textId="77777777" w:rsidR="00333721" w:rsidRDefault="00333721" w:rsidP="00333721">
      <w:pPr>
        <w:rPr>
          <w:rFonts w:ascii="Segoe UI" w:hAnsi="Segoe UI"/>
          <w:spacing w:val="0"/>
        </w:rPr>
      </w:pPr>
      <w:r>
        <w:t xml:space="preserve">The Bill also repeals the stigmatising and unnecessary section 28(1) exemption in the </w:t>
      </w:r>
      <w:r w:rsidRPr="00580172">
        <w:rPr>
          <w:i/>
          <w:iCs/>
        </w:rPr>
        <w:t>Anti-Discrimination Act</w:t>
      </w:r>
      <w:r>
        <w:t xml:space="preserve">. </w:t>
      </w:r>
      <w:r>
        <w:rPr>
          <w:rStyle w:val="normaltextrun"/>
          <w:rFonts w:ascii="Overpass Light" w:hAnsi="Overpass Light" w:cs="Segoe UI"/>
          <w:szCs w:val="18"/>
        </w:rPr>
        <w:t>This provision perpetuates the harmful and offensive stereotype that children are inherently at risk around transgender people. This provision also treats people who are sex workers in the same manner. </w:t>
      </w:r>
      <w:r>
        <w:rPr>
          <w:rStyle w:val="eop"/>
          <w:rFonts w:ascii="Overpass Light" w:hAnsi="Overpass Light" w:cs="Segoe UI"/>
          <w:szCs w:val="18"/>
        </w:rPr>
        <w:t> </w:t>
      </w:r>
    </w:p>
    <w:p w14:paraId="1DF0EF61" w14:textId="77777777" w:rsidR="00333721" w:rsidRDefault="00333721" w:rsidP="00333721">
      <w:pPr>
        <w:rPr>
          <w:rStyle w:val="eop"/>
          <w:rFonts w:ascii="Overpass Light" w:hAnsi="Overpass Light" w:cs="Segoe UI"/>
          <w:szCs w:val="18"/>
        </w:rPr>
      </w:pPr>
      <w:r>
        <w:rPr>
          <w:rStyle w:val="normaltextrun"/>
          <w:rFonts w:ascii="Overpass Light" w:hAnsi="Overpass Light" w:cs="Segoe UI"/>
          <w:szCs w:val="18"/>
        </w:rPr>
        <w:t>Subsection 28(1) is not necessary because any employer who refuses work to someone because they would pose a risk to children in their care or instruction, would never be found to have discriminated against them. Rather than protect children, this provision diverts attention away from where the risks to children truly lie</w:t>
      </w:r>
      <w:r>
        <w:rPr>
          <w:rStyle w:val="eop"/>
          <w:rFonts w:ascii="Overpass Light" w:hAnsi="Overpass Light" w:cs="Segoe UI"/>
          <w:szCs w:val="18"/>
        </w:rPr>
        <w:t>.</w:t>
      </w:r>
    </w:p>
    <w:p w14:paraId="3F1C2E23" w14:textId="77777777" w:rsidR="00333721" w:rsidRDefault="00333721" w:rsidP="00333721">
      <w:r>
        <w:t xml:space="preserve">The repeal of the stigmatising ‘working with children’ exemption in the </w:t>
      </w:r>
      <w:r w:rsidRPr="00580172">
        <w:rPr>
          <w:i/>
          <w:iCs/>
        </w:rPr>
        <w:t>Anti-Discrimination Act</w:t>
      </w:r>
      <w:r>
        <w:t xml:space="preserve"> is an important step along the way to further reforms which are necessary to ensure LGBTIQ+ Queenslanders have appropriate protections from discrimination. </w:t>
      </w:r>
    </w:p>
    <w:p w14:paraId="3722BCA6" w14:textId="1D9B2B3A" w:rsidR="00333721" w:rsidRDefault="00333721" w:rsidP="00333721">
      <w:r>
        <w:t xml:space="preserve">To ensure that the new definitions of ‘gender identity’ and ‘sex characteristics’ work as they are intended, it is important that the recommendations made by the Queensland Human Rights Commission in its landmark </w:t>
      </w:r>
      <w:r>
        <w:rPr>
          <w:i/>
          <w:iCs/>
        </w:rPr>
        <w:t xml:space="preserve">Building Belonging </w:t>
      </w:r>
      <w:r>
        <w:t xml:space="preserve">report are also incorporated into subsequent reforms. As recognised by the Commission’s report, many more reforms are needed to bring the </w:t>
      </w:r>
      <w:r w:rsidRPr="00580172">
        <w:rPr>
          <w:i/>
          <w:iCs/>
        </w:rPr>
        <w:t>Anti-Discrimination Act</w:t>
      </w:r>
      <w:r>
        <w:t xml:space="preserve"> into line with 21</w:t>
      </w:r>
      <w:r w:rsidRPr="00580172">
        <w:rPr>
          <w:vertAlign w:val="superscript"/>
        </w:rPr>
        <w:t>st</w:t>
      </w:r>
      <w:r>
        <w:t xml:space="preserve"> century community expectations and ensure that it works both legally and practically to deliver for the people it is designed to protect from discrimination.  Among those recommendations are the need to simplify the legal definitions of direct and indirect discrimination, including by removing the comparator test.</w:t>
      </w:r>
      <w:r>
        <w:rPr>
          <w:rStyle w:val="FootnoteReference"/>
        </w:rPr>
        <w:footnoteReference w:id="26"/>
      </w:r>
      <w:r w:rsidR="00356BE9">
        <w:t xml:space="preserve"> </w:t>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C96EA8" w14:paraId="090152A0" w14:textId="77777777">
        <w:tc>
          <w:tcPr>
            <w:tcW w:w="8871" w:type="dxa"/>
            <w:tcMar>
              <w:bottom w:w="142" w:type="dxa"/>
            </w:tcMar>
          </w:tcPr>
          <w:p w14:paraId="7C6ADDE8" w14:textId="225E8FB0" w:rsidR="00C96EA8" w:rsidRPr="00577FFC" w:rsidRDefault="00C96EA8">
            <w:pPr>
              <w:pStyle w:val="Heading3"/>
              <w:outlineLvl w:val="2"/>
              <w:rPr>
                <w:rFonts w:hint="eastAsia"/>
              </w:rPr>
            </w:pPr>
            <w:r w:rsidRPr="00577FFC">
              <w:t>recommendation 6</w:t>
            </w:r>
          </w:p>
          <w:p w14:paraId="2AD0029F" w14:textId="156A41FC" w:rsidR="00C96EA8" w:rsidRDefault="008B0890">
            <w:pPr>
              <w:rPr>
                <w:rStyle w:val="PageNumber"/>
              </w:rPr>
            </w:pPr>
            <w:r w:rsidRPr="00577FFC">
              <w:rPr>
                <w:rStyle w:val="PageNumber"/>
              </w:rPr>
              <w:t xml:space="preserve">Implement the remaining recommendations from the Queensland Human Rights Commission’s </w:t>
            </w:r>
            <w:r w:rsidRPr="00577FFC">
              <w:rPr>
                <w:rStyle w:val="PageNumber"/>
                <w:i/>
                <w:iCs/>
              </w:rPr>
              <w:t xml:space="preserve">Building belonging </w:t>
            </w:r>
            <w:r w:rsidRPr="00577FFC">
              <w:rPr>
                <w:rStyle w:val="PageNumber"/>
              </w:rPr>
              <w:t xml:space="preserve">report by amending or replacing the </w:t>
            </w:r>
            <w:r w:rsidRPr="00577FFC">
              <w:rPr>
                <w:rStyle w:val="PageNumber"/>
                <w:i/>
              </w:rPr>
              <w:t>Anti-Discrimination Act 1991</w:t>
            </w:r>
            <w:r w:rsidRPr="00577FFC">
              <w:rPr>
                <w:rStyle w:val="PageNumber"/>
              </w:rPr>
              <w:t xml:space="preserve"> (Qld)</w:t>
            </w:r>
            <w:r w:rsidR="003B448D" w:rsidRPr="00577FFC">
              <w:rPr>
                <w:rStyle w:val="PageNumber"/>
              </w:rPr>
              <w:t>.</w:t>
            </w:r>
          </w:p>
        </w:tc>
      </w:tr>
    </w:tbl>
    <w:p w14:paraId="1FEA58AA" w14:textId="66A447B6" w:rsidR="005D6F01" w:rsidRDefault="00356BE9" w:rsidP="005D6F01">
      <w:pPr>
        <w:pStyle w:val="Heading1"/>
      </w:pPr>
      <w:bookmarkStart w:id="12" w:name="_Toc124333220"/>
      <w:r>
        <w:t>The need for further intersex reform</w:t>
      </w:r>
      <w:bookmarkEnd w:id="12"/>
    </w:p>
    <w:p w14:paraId="7C2FDA3D" w14:textId="0CAC336C" w:rsidR="00AE73DA" w:rsidRDefault="00333721" w:rsidP="004D4B6E">
      <w:pPr>
        <w:rPr>
          <w:rStyle w:val="normaltextrun"/>
          <w:rFonts w:ascii="Overpass Light" w:hAnsi="Overpass Light" w:cs="Segoe UI"/>
          <w:szCs w:val="18"/>
        </w:rPr>
      </w:pPr>
      <w:r>
        <w:t xml:space="preserve">Finally, this Bill will not affect – nor will it fix – an outstanding area of concern for intersex people. </w:t>
      </w:r>
      <w:r>
        <w:rPr>
          <w:rStyle w:val="normaltextrun"/>
          <w:rFonts w:ascii="Overpass Light" w:hAnsi="Overpass Light" w:cs="Segoe UI"/>
          <w:szCs w:val="18"/>
        </w:rPr>
        <w:t>Intersex people are those people born with physical sex characteristics (such as genitals or sex chromosomes) that vary from social or medical norms for female or male bodies. </w:t>
      </w:r>
    </w:p>
    <w:p w14:paraId="634B8DCB" w14:textId="77777777" w:rsidR="00A74D58" w:rsidRDefault="00333721" w:rsidP="004D4B6E">
      <w:pPr>
        <w:rPr>
          <w:rStyle w:val="eop"/>
          <w:rFonts w:ascii="Overpass Light" w:hAnsi="Overpass Light"/>
          <w:color w:val="000000"/>
          <w:szCs w:val="18"/>
          <w:shd w:val="clear" w:color="auto" w:fill="FFFFFF"/>
        </w:rPr>
      </w:pPr>
      <w:r>
        <w:rPr>
          <w:rStyle w:val="normaltextrun"/>
          <w:rFonts w:ascii="Overpass Light" w:hAnsi="Overpass Light"/>
          <w:color w:val="000000"/>
          <w:szCs w:val="18"/>
          <w:shd w:val="clear" w:color="auto" w:fill="FFFFFF"/>
        </w:rPr>
        <w:lastRenderedPageBreak/>
        <w:t>The Bill gives additional time for parents of children born with variations in sex characteristics to register their child’s birth. This provides parents with more time to make decisions about the registration of their child’s gender.</w:t>
      </w:r>
      <w:r>
        <w:rPr>
          <w:rStyle w:val="eop"/>
          <w:rFonts w:ascii="Overpass Light" w:hAnsi="Overpass Light"/>
          <w:color w:val="000000"/>
          <w:szCs w:val="18"/>
          <w:shd w:val="clear" w:color="auto" w:fill="FFFFFF"/>
        </w:rPr>
        <w:t> </w:t>
      </w:r>
    </w:p>
    <w:p w14:paraId="6A9FAE2B" w14:textId="11595B11" w:rsidR="006A796C" w:rsidRDefault="00333721" w:rsidP="004D4B6E">
      <w:pPr>
        <w:rPr>
          <w:rStyle w:val="eop"/>
          <w:rFonts w:ascii="Overpass Light" w:hAnsi="Overpass Light"/>
          <w:color w:val="000000"/>
          <w:szCs w:val="18"/>
          <w:shd w:val="clear" w:color="auto" w:fill="FFFFFF"/>
        </w:rPr>
      </w:pPr>
      <w:r>
        <w:rPr>
          <w:rStyle w:val="eop"/>
          <w:rFonts w:ascii="Overpass Light" w:hAnsi="Overpass Light"/>
          <w:color w:val="000000"/>
          <w:szCs w:val="18"/>
          <w:shd w:val="clear" w:color="auto" w:fill="FFFFFF"/>
        </w:rPr>
        <w:t xml:space="preserve">However, this does not protect intersex children from surgeries and other treatments performed on their bodies </w:t>
      </w:r>
      <w:r w:rsidR="00184786">
        <w:rPr>
          <w:rStyle w:val="eop"/>
          <w:rFonts w:ascii="Overpass Light" w:hAnsi="Overpass Light"/>
          <w:color w:val="000000"/>
          <w:szCs w:val="18"/>
          <w:shd w:val="clear" w:color="auto" w:fill="FFFFFF"/>
        </w:rPr>
        <w:t>without personal consent</w:t>
      </w:r>
      <w:r>
        <w:rPr>
          <w:rStyle w:val="eop"/>
          <w:rFonts w:ascii="Overpass Light" w:hAnsi="Overpass Light"/>
          <w:color w:val="000000"/>
          <w:szCs w:val="18"/>
          <w:shd w:val="clear" w:color="auto" w:fill="FFFFFF"/>
        </w:rPr>
        <w:t xml:space="preserve"> </w:t>
      </w:r>
      <w:r w:rsidR="00184786">
        <w:rPr>
          <w:rStyle w:val="eop"/>
          <w:rFonts w:ascii="Overpass Light" w:hAnsi="Overpass Light"/>
          <w:color w:val="000000"/>
          <w:szCs w:val="18"/>
          <w:shd w:val="clear" w:color="auto" w:fill="FFFFFF"/>
        </w:rPr>
        <w:t xml:space="preserve">and </w:t>
      </w:r>
      <w:r>
        <w:rPr>
          <w:rStyle w:val="eop"/>
          <w:rFonts w:ascii="Overpass Light" w:hAnsi="Overpass Light"/>
          <w:color w:val="000000"/>
          <w:szCs w:val="18"/>
          <w:shd w:val="clear" w:color="auto" w:fill="FFFFFF"/>
        </w:rPr>
        <w:t>which are designed to ‘normalise’ their bodies to fit with gendered norms.</w:t>
      </w:r>
      <w:r w:rsidRPr="00BF4947">
        <w:rPr>
          <w:rStyle w:val="eop"/>
          <w:rFonts w:ascii="Overpass Light" w:hAnsi="Overpass Light"/>
          <w:color w:val="000000"/>
          <w:szCs w:val="18"/>
          <w:shd w:val="clear" w:color="auto" w:fill="FFFFFF"/>
        </w:rPr>
        <w:t xml:space="preserve"> </w:t>
      </w:r>
      <w:r>
        <w:rPr>
          <w:rStyle w:val="eop"/>
          <w:rFonts w:ascii="Overpass Light" w:hAnsi="Overpass Light"/>
          <w:color w:val="000000"/>
          <w:szCs w:val="18"/>
          <w:shd w:val="clear" w:color="auto" w:fill="FFFFFF"/>
        </w:rPr>
        <w:t>These procedures can have lifelong mental and physical health consequences.</w:t>
      </w:r>
      <w:r w:rsidR="00A74D58">
        <w:rPr>
          <w:rStyle w:val="FootnoteReference"/>
          <w:rFonts w:ascii="Overpass Light" w:hAnsi="Overpass Light"/>
          <w:color w:val="000000"/>
          <w:szCs w:val="18"/>
          <w:shd w:val="clear" w:color="auto" w:fill="FFFFFF"/>
        </w:rPr>
        <w:footnoteReference w:id="27"/>
      </w:r>
      <w:r>
        <w:rPr>
          <w:rStyle w:val="eop"/>
          <w:rFonts w:ascii="Overpass Light" w:hAnsi="Overpass Light"/>
          <w:color w:val="000000"/>
          <w:szCs w:val="18"/>
          <w:shd w:val="clear" w:color="auto" w:fill="FFFFFF"/>
        </w:rPr>
        <w:t xml:space="preserve"> </w:t>
      </w:r>
    </w:p>
    <w:p w14:paraId="19A73AAE" w14:textId="683F9763" w:rsidR="00E60704" w:rsidRDefault="00333721" w:rsidP="004D4B6E">
      <w:pPr>
        <w:rPr>
          <w:rStyle w:val="eop"/>
          <w:rFonts w:ascii="Overpass Light" w:hAnsi="Overpass Light"/>
          <w:color w:val="000000"/>
          <w:szCs w:val="18"/>
          <w:shd w:val="clear" w:color="auto" w:fill="FFFFFF"/>
        </w:rPr>
      </w:pPr>
      <w:r>
        <w:rPr>
          <w:rStyle w:val="eop"/>
          <w:rFonts w:ascii="Overpass Light" w:hAnsi="Overpass Light"/>
          <w:color w:val="000000"/>
          <w:szCs w:val="18"/>
          <w:shd w:val="clear" w:color="auto" w:fill="FFFFFF"/>
        </w:rPr>
        <w:t>The Australian Capital Territory and Victoria have committed to reforms to end unnecessary medical treatments modifying the sex characteristics of intersex people without their consent.</w:t>
      </w:r>
      <w:r>
        <w:rPr>
          <w:rStyle w:val="FootnoteReference"/>
          <w:rFonts w:ascii="Overpass Light" w:hAnsi="Overpass Light"/>
          <w:color w:val="000000"/>
          <w:szCs w:val="18"/>
          <w:shd w:val="clear" w:color="auto" w:fill="FFFFFF"/>
        </w:rPr>
        <w:footnoteReference w:id="28"/>
      </w:r>
      <w:r>
        <w:rPr>
          <w:rStyle w:val="eop"/>
          <w:rFonts w:ascii="Overpass Light" w:hAnsi="Overpass Light"/>
          <w:color w:val="000000"/>
          <w:szCs w:val="18"/>
          <w:shd w:val="clear" w:color="auto" w:fill="FFFFFF"/>
        </w:rPr>
        <w:t xml:space="preserve"> In addition to the proposed reforms in the Bill, the Queensland Government should follow the Australian Capital Territory and Victoria and commit to a legislative reform program.</w:t>
      </w:r>
    </w:p>
    <w:tbl>
      <w:tblPr>
        <w:tblStyle w:val="TableGridLight"/>
        <w:tblW w:w="0" w:type="auto"/>
        <w:tblBorders>
          <w:top w:val="single" w:sz="12" w:space="0" w:color="B41EAA" w:themeColor="accent6"/>
          <w:left w:val="single" w:sz="12" w:space="0" w:color="B41EAA" w:themeColor="accent6"/>
          <w:bottom w:val="single" w:sz="12" w:space="0" w:color="B41EAA" w:themeColor="accent6"/>
          <w:right w:val="single" w:sz="12" w:space="0" w:color="B41EAA" w:themeColor="accent6"/>
          <w:insideH w:val="single" w:sz="12" w:space="0" w:color="B41EAA" w:themeColor="accent6"/>
          <w:insideV w:val="single" w:sz="12" w:space="0" w:color="B41EAA" w:themeColor="accent6"/>
        </w:tblBorders>
        <w:tblCellMar>
          <w:left w:w="340" w:type="dxa"/>
          <w:right w:w="340" w:type="dxa"/>
        </w:tblCellMar>
        <w:tblLook w:val="0600" w:firstRow="0" w:lastRow="0" w:firstColumn="0" w:lastColumn="0" w:noHBand="1" w:noVBand="1"/>
      </w:tblPr>
      <w:tblGrid>
        <w:gridCol w:w="8871"/>
      </w:tblGrid>
      <w:tr w:rsidR="004F3110" w14:paraId="237F7B9E" w14:textId="77777777">
        <w:tc>
          <w:tcPr>
            <w:tcW w:w="8871" w:type="dxa"/>
            <w:tcMar>
              <w:bottom w:w="142" w:type="dxa"/>
            </w:tcMar>
          </w:tcPr>
          <w:p w14:paraId="204B61DC" w14:textId="07BC62C2" w:rsidR="004F3110" w:rsidRPr="00576432" w:rsidRDefault="004F3110">
            <w:pPr>
              <w:pStyle w:val="Heading3"/>
              <w:outlineLvl w:val="2"/>
              <w:rPr>
                <w:rFonts w:hint="eastAsia"/>
              </w:rPr>
            </w:pPr>
            <w:r w:rsidRPr="00576432">
              <w:t>recommendation 7</w:t>
            </w:r>
          </w:p>
          <w:p w14:paraId="06F5EC86" w14:textId="5464D935" w:rsidR="004F3110" w:rsidRPr="008B0890" w:rsidRDefault="004F3110">
            <w:pPr>
              <w:rPr>
                <w:rStyle w:val="PageNumber"/>
              </w:rPr>
            </w:pPr>
            <w:r w:rsidRPr="00576432">
              <w:rPr>
                <w:rStyle w:val="PageNumber"/>
              </w:rPr>
              <w:t xml:space="preserve">The Queensland Government should commit to </w:t>
            </w:r>
            <w:r w:rsidR="00AA3A84" w:rsidRPr="00576432">
              <w:rPr>
                <w:rStyle w:val="PageNumber"/>
              </w:rPr>
              <w:t xml:space="preserve">legislation that </w:t>
            </w:r>
            <w:r w:rsidRPr="00576432">
              <w:rPr>
                <w:rStyle w:val="PageNumber"/>
              </w:rPr>
              <w:t>protect</w:t>
            </w:r>
            <w:r w:rsidR="00AA3A84" w:rsidRPr="00576432">
              <w:rPr>
                <w:rStyle w:val="PageNumber"/>
              </w:rPr>
              <w:t>s</w:t>
            </w:r>
            <w:r w:rsidRPr="00576432">
              <w:rPr>
                <w:rStyle w:val="PageNumber"/>
              </w:rPr>
              <w:t xml:space="preserve"> intersex people from </w:t>
            </w:r>
            <w:r w:rsidR="003733BB" w:rsidRPr="00576432">
              <w:rPr>
                <w:rStyle w:val="PageNumber"/>
              </w:rPr>
              <w:t>unnecessary medical treatment without personal consent.</w:t>
            </w:r>
            <w:r w:rsidR="003733BB">
              <w:rPr>
                <w:rStyle w:val="PageNumber"/>
              </w:rPr>
              <w:t xml:space="preserve"> </w:t>
            </w:r>
          </w:p>
        </w:tc>
      </w:tr>
    </w:tbl>
    <w:p w14:paraId="0E24B682" w14:textId="77777777" w:rsidR="00E60704" w:rsidRPr="00E60704" w:rsidRDefault="00E60704" w:rsidP="0074052A"/>
    <w:sectPr w:rsidR="00E60704" w:rsidRPr="00E60704" w:rsidSect="00735275">
      <w:pgSz w:w="11907" w:h="16840" w:code="9"/>
      <w:pgMar w:top="1644" w:right="1021" w:bottom="1644" w:left="1985"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2285" w14:textId="77777777" w:rsidR="00E03E07" w:rsidRDefault="00E03E07" w:rsidP="00CA34DF">
      <w:r>
        <w:separator/>
      </w:r>
    </w:p>
  </w:endnote>
  <w:endnote w:type="continuationSeparator" w:id="0">
    <w:p w14:paraId="28F9EE07" w14:textId="77777777" w:rsidR="00E03E07" w:rsidRDefault="00E03E07" w:rsidP="00CA34DF">
      <w:r>
        <w:continuationSeparator/>
      </w:r>
    </w:p>
  </w:endnote>
  <w:endnote w:type="continuationNotice" w:id="1">
    <w:p w14:paraId="40C55E37" w14:textId="77777777" w:rsidR="00E03E07" w:rsidRDefault="00E03E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verpass Light">
    <w:panose1 w:val="00000400000000000000"/>
    <w:charset w:val="00"/>
    <w:family w:val="auto"/>
    <w:pitch w:val="variable"/>
    <w:sig w:usb0="00000007" w:usb1="0000002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panose1 w:val="00000500000000000000"/>
    <w:charset w:val="00"/>
    <w:family w:val="auto"/>
    <w:pitch w:val="variable"/>
    <w:sig w:usb0="00000007" w:usb1="0000002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hosphateSolid">
    <w:panose1 w:val="02000606020000020004"/>
    <w:charset w:val="00"/>
    <w:family w:val="auto"/>
    <w:pitch w:val="variable"/>
    <w:sig w:usb0="800000A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49A2" w14:textId="7B168402" w:rsidR="0031655E" w:rsidRPr="00223F49" w:rsidRDefault="00522F34" w:rsidP="00223F49">
    <w:pPr>
      <w:pStyle w:val="P1Footer"/>
      <w:rPr>
        <w:b/>
      </w:rPr>
    </w:pPr>
    <w:r>
      <w:rPr>
        <w:b/>
      </w:rPr>
      <w:t>January</w:t>
    </w:r>
    <w:r w:rsidR="00574AA7">
      <w:rPr>
        <w:b/>
      </w:rPr>
      <w:t xml:space="preserve"> 202</w:t>
    </w:r>
    <w:r>
      <w:rPr>
        <w:b/>
      </w:rPr>
      <w:t>3</w:t>
    </w:r>
  </w:p>
  <w:p w14:paraId="7EF364B7" w14:textId="0798E661" w:rsidR="0031655E" w:rsidRPr="00735275" w:rsidRDefault="00735275" w:rsidP="00735275">
    <w:pPr>
      <w:pStyle w:val="FooterP1EQAU"/>
    </w:pPr>
    <w:r w:rsidRPr="00735275">
      <w:t>we need your voice.   equalityaustralia.org.au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BBD4" w14:textId="03E55A47" w:rsidR="00735275" w:rsidRPr="0031655E" w:rsidRDefault="00A77239" w:rsidP="00735275">
    <w:pPr>
      <w:pStyle w:val="Footer"/>
    </w:pPr>
    <w:r>
      <w:t xml:space="preserve">Submission to the Legal Affairs and Safety Committee inquiry into the Births, </w:t>
    </w:r>
    <w:proofErr w:type="gramStart"/>
    <w:r>
      <w:t>Deaths</w:t>
    </w:r>
    <w:proofErr w:type="gramEnd"/>
    <w:r>
      <w:t xml:space="preserve"> and Marriages Registration Bill 2022 (Qld)</w:t>
    </w:r>
  </w:p>
  <w:tbl>
    <w:tblPr>
      <w:tblStyle w:val="TableGrid"/>
      <w:tblW w:w="913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70"/>
    </w:tblGrid>
    <w:tr w:rsidR="00735275" w:rsidRPr="00E20450" w14:paraId="392E262A" w14:textId="77777777">
      <w:tc>
        <w:tcPr>
          <w:tcW w:w="4560" w:type="dxa"/>
        </w:tcPr>
        <w:p w14:paraId="501184B6" w14:textId="77777777" w:rsidR="00735275" w:rsidRPr="0011785E" w:rsidRDefault="00735275" w:rsidP="00735275">
          <w:pPr>
            <w:pStyle w:val="FooterEQAU"/>
          </w:pPr>
          <w:r w:rsidRPr="0011785E">
            <w:t>equalityaustralia.org.au</w:t>
          </w:r>
        </w:p>
      </w:tc>
      <w:tc>
        <w:tcPr>
          <w:tcW w:w="4570" w:type="dxa"/>
        </w:tcPr>
        <w:p w14:paraId="4B1D2C02" w14:textId="77777777" w:rsidR="00735275" w:rsidRPr="0011785E" w:rsidRDefault="00735275" w:rsidP="00735275">
          <w:pPr>
            <w:pStyle w:val="Page"/>
            <w:spacing w:before="0" w:after="0" w:line="240" w:lineRule="auto"/>
            <w:jc w:val="right"/>
          </w:pPr>
          <w:r>
            <w:t xml:space="preserve">Page </w:t>
          </w:r>
          <w:r>
            <w:fldChar w:fldCharType="begin"/>
          </w:r>
          <w:r>
            <w:instrText xml:space="preserve"> PAGE  \* Arabic  \* MERGEFORMAT </w:instrText>
          </w:r>
          <w:r>
            <w:fldChar w:fldCharType="separate"/>
          </w:r>
          <w:r>
            <w:t>1</w:t>
          </w:r>
          <w:r>
            <w:fldChar w:fldCharType="end"/>
          </w:r>
        </w:p>
      </w:tc>
    </w:tr>
  </w:tbl>
  <w:p w14:paraId="04AB9F17" w14:textId="5A2173FE" w:rsidR="008D531D" w:rsidRPr="00735275" w:rsidRDefault="008D531D" w:rsidP="0073527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5A7A" w14:textId="77777777" w:rsidR="00E03E07" w:rsidRDefault="00E03E07" w:rsidP="00CA34DF">
      <w:r>
        <w:separator/>
      </w:r>
    </w:p>
  </w:footnote>
  <w:footnote w:type="continuationSeparator" w:id="0">
    <w:p w14:paraId="73AC73AB" w14:textId="77777777" w:rsidR="00E03E07" w:rsidRDefault="00E03E07" w:rsidP="00CA34DF">
      <w:r>
        <w:continuationSeparator/>
      </w:r>
    </w:p>
  </w:footnote>
  <w:footnote w:type="continuationNotice" w:id="1">
    <w:p w14:paraId="24346CA4" w14:textId="77777777" w:rsidR="00E03E07" w:rsidRDefault="00E03E07">
      <w:pPr>
        <w:spacing w:before="0" w:after="0" w:line="240" w:lineRule="auto"/>
      </w:pPr>
    </w:p>
  </w:footnote>
  <w:footnote w:id="2">
    <w:p w14:paraId="01039A7B" w14:textId="7A6C0115" w:rsidR="00B5574A" w:rsidRDefault="00B5574A">
      <w:pPr>
        <w:pStyle w:val="FootnoteText"/>
      </w:pPr>
      <w:r>
        <w:rPr>
          <w:rStyle w:val="FootnoteReference"/>
        </w:rPr>
        <w:footnoteRef/>
      </w:r>
      <w:r>
        <w:t xml:space="preserve"> </w:t>
      </w:r>
      <w:r>
        <w:rPr>
          <w:rStyle w:val="normaltextrun"/>
          <w:rFonts w:ascii="Overpass Light" w:hAnsi="Overpass Light"/>
          <w:color w:val="000000"/>
          <w:szCs w:val="14"/>
          <w:shd w:val="clear" w:color="auto" w:fill="FFFFFF"/>
        </w:rPr>
        <w:t> </w:t>
      </w:r>
      <w:r w:rsidR="00BF4369">
        <w:rPr>
          <w:rStyle w:val="normaltextrun"/>
          <w:rFonts w:ascii="Overpass Light" w:hAnsi="Overpass Light"/>
          <w:color w:val="000000"/>
          <w:szCs w:val="14"/>
          <w:shd w:val="clear" w:color="auto" w:fill="FFFFFF"/>
        </w:rPr>
        <w:t>Hill et al (2020) </w:t>
      </w:r>
      <w:hyperlink r:id="rId1" w:tgtFrame="_blank" w:history="1">
        <w:r w:rsidR="00BF4369">
          <w:rPr>
            <w:rStyle w:val="normaltextrun"/>
            <w:rFonts w:ascii="Overpass Light" w:hAnsi="Overpass Light" w:cs="Segoe UI"/>
            <w:i/>
            <w:iCs/>
            <w:color w:val="1C77A4"/>
            <w:szCs w:val="14"/>
            <w:u w:val="single"/>
            <w:shd w:val="clear" w:color="auto" w:fill="FFFFFF"/>
          </w:rPr>
          <w:t>Private Lives 3: The health and wellbeing of LGBTIQ people in Australia</w:t>
        </w:r>
      </w:hyperlink>
      <w:r w:rsidR="00BF4369">
        <w:rPr>
          <w:rStyle w:val="normaltextrun"/>
          <w:rFonts w:ascii="Overpass Light" w:hAnsi="Overpass Light"/>
          <w:color w:val="000000"/>
          <w:szCs w:val="14"/>
          <w:shd w:val="clear" w:color="auto" w:fill="FFFFFF"/>
        </w:rPr>
        <w:t>, Australian Research Centre in Sex, Health and Society, La Trobe University, </w:t>
      </w:r>
      <w:r w:rsidR="00A179DD">
        <w:rPr>
          <w:rStyle w:val="normaltextrun"/>
          <w:rFonts w:ascii="Overpass Light" w:hAnsi="Overpass Light"/>
          <w:color w:val="000000"/>
          <w:szCs w:val="14"/>
          <w:shd w:val="clear" w:color="auto" w:fill="FFFFFF"/>
        </w:rPr>
        <w:t xml:space="preserve"> </w:t>
      </w:r>
      <w:r w:rsidR="00BF4369">
        <w:rPr>
          <w:rStyle w:val="normaltextrun"/>
          <w:rFonts w:ascii="Overpass Light" w:hAnsi="Overpass Light"/>
          <w:color w:val="000000"/>
          <w:szCs w:val="14"/>
          <w:shd w:val="clear" w:color="auto" w:fill="FFFFFF"/>
        </w:rPr>
        <w:t>(‘Private Lives 3’).</w:t>
      </w:r>
    </w:p>
  </w:footnote>
  <w:footnote w:id="3">
    <w:p w14:paraId="2A57115D" w14:textId="52B950CF" w:rsidR="00BF4369" w:rsidRPr="00BF4369" w:rsidRDefault="00BF4369">
      <w:pPr>
        <w:pStyle w:val="FootnoteText"/>
        <w:rPr>
          <w:lang w:val="en-GB"/>
        </w:rPr>
      </w:pPr>
      <w:r>
        <w:rPr>
          <w:rStyle w:val="FootnoteReference"/>
        </w:rPr>
        <w:footnoteRef/>
      </w:r>
      <w:r>
        <w:t xml:space="preserve"> </w:t>
      </w:r>
      <w:r w:rsidR="00A179DD">
        <w:rPr>
          <w:rStyle w:val="normaltextrun"/>
          <w:rFonts w:ascii="Overpass Light" w:hAnsi="Overpass Light"/>
          <w:color w:val="000000"/>
          <w:szCs w:val="14"/>
          <w:shd w:val="clear" w:color="auto" w:fill="FFFFFF"/>
        </w:rPr>
        <w:t>Hill et al (2020) </w:t>
      </w:r>
      <w:hyperlink r:id="rId2" w:tgtFrame="_blank" w:history="1">
        <w:r w:rsidR="00A179DD">
          <w:rPr>
            <w:rStyle w:val="normaltextrun"/>
            <w:rFonts w:ascii="Overpass Light" w:hAnsi="Overpass Light" w:cs="Segoe UI"/>
            <w:i/>
            <w:iCs/>
            <w:color w:val="1C77A4"/>
            <w:szCs w:val="14"/>
            <w:u w:val="single"/>
            <w:shd w:val="clear" w:color="auto" w:fill="FFFFFF"/>
          </w:rPr>
          <w:t>Private Lives 3</w:t>
        </w:r>
      </w:hyperlink>
      <w:r w:rsidR="00A179DD">
        <w:rPr>
          <w:rStyle w:val="normaltextrun"/>
          <w:rFonts w:ascii="Overpass Light" w:hAnsi="Overpass Light"/>
          <w:color w:val="000000"/>
          <w:szCs w:val="14"/>
          <w:shd w:val="clear" w:color="auto" w:fill="FFFFFF"/>
        </w:rPr>
        <w:t xml:space="preserve">, </w:t>
      </w:r>
      <w:r w:rsidR="009B4D1F">
        <w:rPr>
          <w:rStyle w:val="normaltextrun"/>
          <w:rFonts w:ascii="Overpass Light" w:hAnsi="Overpass Light"/>
          <w:color w:val="000000"/>
          <w:szCs w:val="14"/>
          <w:shd w:val="clear" w:color="auto" w:fill="FFFFFF"/>
        </w:rPr>
        <w:t>at</w:t>
      </w:r>
      <w:r w:rsidR="00A179DD">
        <w:rPr>
          <w:rStyle w:val="normaltextrun"/>
          <w:rFonts w:ascii="Overpass Light" w:hAnsi="Overpass Light"/>
          <w:color w:val="000000"/>
          <w:szCs w:val="14"/>
          <w:shd w:val="clear" w:color="auto" w:fill="FFFFFF"/>
        </w:rPr>
        <w:t xml:space="preserve"> 40.</w:t>
      </w:r>
    </w:p>
  </w:footnote>
  <w:footnote w:id="4">
    <w:p w14:paraId="218B9D38" w14:textId="613B515C" w:rsidR="003B515E" w:rsidRPr="00BB6682" w:rsidRDefault="003B515E" w:rsidP="003B515E">
      <w:pPr>
        <w:pStyle w:val="FootnoteText"/>
        <w:rPr>
          <w:lang w:val="en-GB"/>
        </w:rPr>
      </w:pPr>
      <w:r>
        <w:rPr>
          <w:rStyle w:val="FootnoteReference"/>
        </w:rPr>
        <w:footnoteRef/>
      </w:r>
      <w:r>
        <w:t xml:space="preserve"> </w:t>
      </w:r>
      <w:r>
        <w:rPr>
          <w:rStyle w:val="normaltextrun"/>
          <w:rFonts w:ascii="Overpass Light" w:hAnsi="Overpass Light"/>
          <w:color w:val="000000"/>
          <w:szCs w:val="14"/>
          <w:shd w:val="clear" w:color="auto" w:fill="FFFFFF"/>
        </w:rPr>
        <w:t>Hill et al (2020) </w:t>
      </w:r>
      <w:hyperlink r:id="rId3" w:tgtFrame="_blank" w:history="1">
        <w:r>
          <w:rPr>
            <w:rStyle w:val="normaltextrun"/>
            <w:rFonts w:ascii="Overpass Light" w:hAnsi="Overpass Light" w:cs="Segoe UI"/>
            <w:i/>
            <w:iCs/>
            <w:color w:val="1C77A4"/>
            <w:szCs w:val="14"/>
            <w:u w:val="single"/>
            <w:shd w:val="clear" w:color="auto" w:fill="FFFFFF"/>
          </w:rPr>
          <w:t>Private Lives 3</w:t>
        </w:r>
      </w:hyperlink>
      <w:r>
        <w:rPr>
          <w:rStyle w:val="normaltextrun"/>
          <w:rFonts w:ascii="Overpass Light" w:hAnsi="Overpass Light"/>
          <w:color w:val="000000"/>
          <w:szCs w:val="14"/>
          <w:shd w:val="clear" w:color="auto" w:fill="FFFFFF"/>
        </w:rPr>
        <w:t>, at 41.</w:t>
      </w:r>
    </w:p>
  </w:footnote>
  <w:footnote w:id="5">
    <w:p w14:paraId="48CB5C80" w14:textId="26EBB05A" w:rsidR="00A179DD" w:rsidRPr="00A179DD" w:rsidRDefault="00A179DD">
      <w:pPr>
        <w:pStyle w:val="FootnoteText"/>
        <w:rPr>
          <w:lang w:val="en-GB"/>
        </w:rPr>
      </w:pPr>
      <w:r>
        <w:rPr>
          <w:rStyle w:val="FootnoteReference"/>
        </w:rPr>
        <w:footnoteRef/>
      </w:r>
      <w:r>
        <w:t xml:space="preserve"> </w:t>
      </w:r>
      <w:r>
        <w:rPr>
          <w:rStyle w:val="normaltextrun"/>
          <w:rFonts w:ascii="Overpass Light" w:hAnsi="Overpass Light"/>
          <w:color w:val="000000"/>
          <w:szCs w:val="14"/>
          <w:shd w:val="clear" w:color="auto" w:fill="FFFFFF"/>
        </w:rPr>
        <w:t>Hill et al (2020) </w:t>
      </w:r>
      <w:hyperlink r:id="rId4" w:tgtFrame="_blank" w:history="1">
        <w:r>
          <w:rPr>
            <w:rStyle w:val="normaltextrun"/>
            <w:rFonts w:ascii="Overpass Light" w:hAnsi="Overpass Light" w:cs="Segoe UI"/>
            <w:i/>
            <w:iCs/>
            <w:color w:val="1C77A4"/>
            <w:szCs w:val="14"/>
            <w:u w:val="single"/>
            <w:shd w:val="clear" w:color="auto" w:fill="FFFFFF"/>
          </w:rPr>
          <w:t>Private Lives 3</w:t>
        </w:r>
      </w:hyperlink>
      <w:r>
        <w:rPr>
          <w:rStyle w:val="normaltextrun"/>
          <w:rFonts w:ascii="Overpass Light" w:hAnsi="Overpass Light"/>
          <w:color w:val="000000"/>
          <w:szCs w:val="14"/>
          <w:shd w:val="clear" w:color="auto" w:fill="FFFFFF"/>
        </w:rPr>
        <w:t xml:space="preserve">, </w:t>
      </w:r>
      <w:r w:rsidR="009B4D1F">
        <w:rPr>
          <w:rStyle w:val="normaltextrun"/>
          <w:rFonts w:ascii="Overpass Light" w:hAnsi="Overpass Light"/>
          <w:color w:val="000000"/>
          <w:szCs w:val="14"/>
          <w:shd w:val="clear" w:color="auto" w:fill="FFFFFF"/>
        </w:rPr>
        <w:t>at</w:t>
      </w:r>
      <w:r>
        <w:rPr>
          <w:rStyle w:val="normaltextrun"/>
          <w:rFonts w:ascii="Overpass Light" w:hAnsi="Overpass Light"/>
          <w:color w:val="000000"/>
          <w:szCs w:val="14"/>
          <w:shd w:val="clear" w:color="auto" w:fill="FFFFFF"/>
        </w:rPr>
        <w:t xml:space="preserve"> 37.</w:t>
      </w:r>
    </w:p>
  </w:footnote>
  <w:footnote w:id="6">
    <w:p w14:paraId="11B1736C" w14:textId="0C49933F" w:rsidR="00C63FDB" w:rsidRDefault="00C63FDB" w:rsidP="00C63FDB">
      <w:pPr>
        <w:pStyle w:val="FootnoteText"/>
      </w:pPr>
      <w:r>
        <w:rPr>
          <w:rStyle w:val="FootnoteReference"/>
        </w:rPr>
        <w:footnoteRef/>
      </w:r>
      <w:r>
        <w:t xml:space="preserve"> </w:t>
      </w:r>
      <w:proofErr w:type="spellStart"/>
      <w:r>
        <w:rPr>
          <w:rStyle w:val="normaltextrun"/>
          <w:rFonts w:ascii="Overpass Light" w:hAnsi="Overpass Light"/>
          <w:color w:val="000000"/>
          <w:szCs w:val="14"/>
          <w:shd w:val="clear" w:color="auto" w:fill="FFFFFF"/>
        </w:rPr>
        <w:t>Schiem</w:t>
      </w:r>
      <w:proofErr w:type="spellEnd"/>
      <w:r>
        <w:rPr>
          <w:rStyle w:val="normaltextrun"/>
          <w:rFonts w:ascii="Overpass Light" w:hAnsi="Overpass Light"/>
          <w:color w:val="000000"/>
          <w:szCs w:val="14"/>
          <w:shd w:val="clear" w:color="auto" w:fill="FFFFFF"/>
        </w:rPr>
        <w:t> et al</w:t>
      </w:r>
      <w:r w:rsidR="00E10333">
        <w:rPr>
          <w:rStyle w:val="normaltextrun"/>
          <w:rFonts w:ascii="Overpass Light" w:hAnsi="Overpass Light"/>
          <w:color w:val="000000"/>
          <w:szCs w:val="14"/>
          <w:shd w:val="clear" w:color="auto" w:fill="FFFFFF"/>
        </w:rPr>
        <w:t xml:space="preserve"> (2020)</w:t>
      </w:r>
      <w:r>
        <w:rPr>
          <w:rStyle w:val="normaltextrun"/>
          <w:rFonts w:ascii="Overpass Light" w:hAnsi="Overpass Light"/>
          <w:color w:val="000000"/>
          <w:szCs w:val="14"/>
          <w:shd w:val="clear" w:color="auto" w:fill="FFFFFF"/>
        </w:rPr>
        <w:t> ‘Gender-concordant identity documents and mental health among transgender adults in the USA: A cross-sectional study’ </w:t>
      </w:r>
      <w:r>
        <w:rPr>
          <w:rStyle w:val="normaltextrun"/>
          <w:rFonts w:ascii="Overpass Light" w:hAnsi="Overpass Light"/>
          <w:i/>
          <w:iCs/>
          <w:color w:val="000000"/>
          <w:szCs w:val="14"/>
          <w:shd w:val="clear" w:color="auto" w:fill="FFFFFF"/>
        </w:rPr>
        <w:t>The Lancet Public Health</w:t>
      </w:r>
      <w:r>
        <w:rPr>
          <w:rStyle w:val="normaltextrun"/>
          <w:rFonts w:ascii="Overpass Light" w:hAnsi="Overpass Light"/>
          <w:color w:val="000000"/>
          <w:szCs w:val="14"/>
          <w:shd w:val="clear" w:color="auto" w:fill="FFFFFF"/>
        </w:rPr>
        <w:t>; W King</w:t>
      </w:r>
      <w:r w:rsidR="00E10333">
        <w:rPr>
          <w:rStyle w:val="normaltextrun"/>
          <w:rFonts w:ascii="Overpass Light" w:hAnsi="Overpass Light"/>
          <w:color w:val="000000"/>
          <w:szCs w:val="14"/>
          <w:shd w:val="clear" w:color="auto" w:fill="FFFFFF"/>
        </w:rPr>
        <w:t xml:space="preserve"> (2021)</w:t>
      </w:r>
      <w:r>
        <w:rPr>
          <w:rStyle w:val="normaltextrun"/>
          <w:rFonts w:ascii="Overpass Light" w:hAnsi="Overpass Light"/>
          <w:color w:val="000000"/>
          <w:szCs w:val="14"/>
          <w:shd w:val="clear" w:color="auto" w:fill="FFFFFF"/>
        </w:rPr>
        <w:t xml:space="preserve"> ‘A scoping review examining social and legal gender affirmation and health among transgender populations’, </w:t>
      </w:r>
      <w:r>
        <w:rPr>
          <w:rStyle w:val="normaltextrun"/>
          <w:rFonts w:ascii="Overpass Light" w:hAnsi="Overpass Light"/>
          <w:i/>
          <w:iCs/>
          <w:color w:val="000000"/>
          <w:szCs w:val="14"/>
          <w:shd w:val="clear" w:color="auto" w:fill="FFFFFF"/>
        </w:rPr>
        <w:t>Transgender Health</w:t>
      </w:r>
      <w:r>
        <w:rPr>
          <w:rStyle w:val="normaltextrun"/>
          <w:rFonts w:ascii="Overpass Light" w:hAnsi="Overpass Light"/>
          <w:color w:val="000000"/>
          <w:szCs w:val="14"/>
          <w:shd w:val="clear" w:color="auto" w:fill="FFFFFF"/>
        </w:rPr>
        <w:t>.</w:t>
      </w:r>
    </w:p>
  </w:footnote>
  <w:footnote w:id="7">
    <w:p w14:paraId="2784978C" w14:textId="5218F0A0" w:rsidR="00C63FDB" w:rsidRDefault="00C63FDB" w:rsidP="00C63FDB">
      <w:pPr>
        <w:pStyle w:val="FootnoteText"/>
      </w:pPr>
      <w:r>
        <w:rPr>
          <w:rStyle w:val="FootnoteReference"/>
        </w:rPr>
        <w:footnoteRef/>
      </w:r>
      <w:r>
        <w:t xml:space="preserve"> </w:t>
      </w:r>
      <w:r>
        <w:rPr>
          <w:i/>
          <w:iCs/>
        </w:rPr>
        <w:t>AB</w:t>
      </w:r>
      <w:r w:rsidR="00DC4A4C">
        <w:rPr>
          <w:i/>
          <w:iCs/>
        </w:rPr>
        <w:t xml:space="preserve"> &amp; AH</w:t>
      </w:r>
      <w:r>
        <w:rPr>
          <w:i/>
          <w:iCs/>
        </w:rPr>
        <w:t xml:space="preserve"> v Western Australia </w:t>
      </w:r>
      <w:r>
        <w:t>[2011] HCA 42 [34], [36].</w:t>
      </w:r>
    </w:p>
  </w:footnote>
  <w:footnote w:id="8">
    <w:p w14:paraId="3A2DE5A3" w14:textId="5AA74442" w:rsidR="00D164C2" w:rsidRPr="00D164C2" w:rsidRDefault="00D164C2">
      <w:pPr>
        <w:pStyle w:val="FootnoteText"/>
      </w:pPr>
      <w:r>
        <w:rPr>
          <w:rStyle w:val="FootnoteReference"/>
        </w:rPr>
        <w:footnoteRef/>
      </w:r>
      <w:r>
        <w:t xml:space="preserve"> </w:t>
      </w:r>
      <w:r w:rsidRPr="00D164C2">
        <w:rPr>
          <w:i/>
          <w:iCs/>
        </w:rPr>
        <w:t>Births, Deaths and Marriages Registration Ac</w:t>
      </w:r>
      <w:r>
        <w:rPr>
          <w:i/>
          <w:iCs/>
        </w:rPr>
        <w:t xml:space="preserve">t 2003 </w:t>
      </w:r>
      <w:r>
        <w:t xml:space="preserve">(Qld) </w:t>
      </w:r>
      <w:r w:rsidR="00752348">
        <w:t xml:space="preserve">ss 22, 23(4). </w:t>
      </w:r>
    </w:p>
  </w:footnote>
  <w:footnote w:id="9">
    <w:p w14:paraId="2851BD71" w14:textId="2EAE3B83" w:rsidR="00DC4A4C" w:rsidRDefault="00DC4A4C">
      <w:pPr>
        <w:pStyle w:val="FootnoteText"/>
      </w:pPr>
      <w:r>
        <w:rPr>
          <w:rStyle w:val="FootnoteReference"/>
        </w:rPr>
        <w:footnoteRef/>
      </w:r>
      <w:r>
        <w:t xml:space="preserve"> See </w:t>
      </w:r>
      <w:r>
        <w:rPr>
          <w:i/>
          <w:iCs/>
        </w:rPr>
        <w:t xml:space="preserve">AB &amp; AH v Western Australia </w:t>
      </w:r>
      <w:r>
        <w:t>[2011] HCA 42 [34], [36].</w:t>
      </w:r>
    </w:p>
  </w:footnote>
  <w:footnote w:id="10">
    <w:p w14:paraId="3B1F2048" w14:textId="66C8A508" w:rsidR="004E7C45" w:rsidRPr="00490522" w:rsidRDefault="004E7C45">
      <w:pPr>
        <w:pStyle w:val="FootnoteText"/>
      </w:pPr>
      <w:r>
        <w:rPr>
          <w:rStyle w:val="FootnoteReference"/>
        </w:rPr>
        <w:footnoteRef/>
      </w:r>
      <w:r>
        <w:t xml:space="preserve"> Australian Government (2013) </w:t>
      </w:r>
      <w:hyperlink r:id="rId5" w:history="1">
        <w:r w:rsidRPr="009D0208">
          <w:rPr>
            <w:rStyle w:val="Hyperlink"/>
            <w:i/>
            <w:iCs/>
          </w:rPr>
          <w:t>Australian Government Guidelines on the Recognition of Sex and Gender</w:t>
        </w:r>
      </w:hyperlink>
      <w:r w:rsidR="00490522">
        <w:t>.</w:t>
      </w:r>
    </w:p>
  </w:footnote>
  <w:footnote w:id="11">
    <w:p w14:paraId="4049033C" w14:textId="33BECA6C" w:rsidR="00760AA4" w:rsidRDefault="00760AA4">
      <w:pPr>
        <w:pStyle w:val="FootnoteText"/>
      </w:pPr>
      <w:r>
        <w:rPr>
          <w:rStyle w:val="FootnoteReference"/>
        </w:rPr>
        <w:footnoteRef/>
      </w:r>
      <w:r>
        <w:t xml:space="preserve"> </w:t>
      </w:r>
      <w:r>
        <w:rPr>
          <w:rStyle w:val="normaltextrun"/>
          <w:rFonts w:ascii="Overpass Light" w:hAnsi="Overpass Light"/>
          <w:i/>
          <w:iCs/>
          <w:color w:val="000000"/>
          <w:szCs w:val="14"/>
          <w:shd w:val="clear" w:color="auto" w:fill="FFFFFF"/>
        </w:rPr>
        <w:t>Births, Deaths and Marriages Registration Act 1996</w:t>
      </w:r>
      <w:r>
        <w:rPr>
          <w:rStyle w:val="normaltextrun"/>
          <w:rFonts w:ascii="Overpass Light" w:hAnsi="Overpass Light"/>
          <w:color w:val="000000"/>
          <w:szCs w:val="14"/>
          <w:shd w:val="clear" w:color="auto" w:fill="FFFFFF"/>
        </w:rPr>
        <w:t> (Vic)</w:t>
      </w:r>
      <w:r>
        <w:rPr>
          <w:rStyle w:val="normaltextrun"/>
          <w:rFonts w:ascii="Overpass Light" w:hAnsi="Overpass Light"/>
          <w:i/>
          <w:iCs/>
          <w:color w:val="000000"/>
          <w:szCs w:val="14"/>
          <w:shd w:val="clear" w:color="auto" w:fill="FFFFFF"/>
        </w:rPr>
        <w:t> </w:t>
      </w:r>
      <w:r>
        <w:rPr>
          <w:rStyle w:val="normaltextrun"/>
          <w:rFonts w:ascii="Overpass Light" w:hAnsi="Overpass Light"/>
          <w:color w:val="000000"/>
          <w:szCs w:val="14"/>
          <w:shd w:val="clear" w:color="auto" w:fill="FFFFFF"/>
        </w:rPr>
        <w:t>ss 4, 30A(2), 30C(5);  </w:t>
      </w:r>
      <w:r>
        <w:rPr>
          <w:rStyle w:val="normaltextrun"/>
          <w:rFonts w:ascii="Overpass Light" w:hAnsi="Overpass Light"/>
          <w:i/>
          <w:iCs/>
          <w:color w:val="000000"/>
          <w:szCs w:val="14"/>
          <w:shd w:val="clear" w:color="auto" w:fill="FFFFFF"/>
        </w:rPr>
        <w:t>Births, Deaths and Marriages Registration Act 1999</w:t>
      </w:r>
      <w:r>
        <w:rPr>
          <w:rStyle w:val="normaltextrun"/>
          <w:rFonts w:ascii="Overpass Light" w:hAnsi="Overpass Light"/>
          <w:color w:val="000000"/>
          <w:szCs w:val="14"/>
          <w:shd w:val="clear" w:color="auto" w:fill="FFFFFF"/>
        </w:rPr>
        <w:t> (Tas) Part 4A.</w:t>
      </w:r>
    </w:p>
  </w:footnote>
  <w:footnote w:id="12">
    <w:p w14:paraId="40540CB4" w14:textId="61284A6E" w:rsidR="00F22CCF" w:rsidRDefault="00F22CCF">
      <w:pPr>
        <w:pStyle w:val="FootnoteText"/>
      </w:pPr>
      <w:r>
        <w:rPr>
          <w:rStyle w:val="FootnoteReference"/>
        </w:rPr>
        <w:footnoteRef/>
      </w:r>
      <w:r>
        <w:t xml:space="preserve"> </w:t>
      </w:r>
      <w:r w:rsidR="00FF0051">
        <w:rPr>
          <w:i/>
          <w:iCs/>
        </w:rPr>
        <w:t>Births, Deaths and Marriages Registration Bill 2022</w:t>
      </w:r>
      <w:r w:rsidR="00FF0051">
        <w:t xml:space="preserve"> (Qld) s</w:t>
      </w:r>
      <w:r w:rsidR="004B3C4D">
        <w:t>s</w:t>
      </w:r>
      <w:r w:rsidR="00FF0051">
        <w:t xml:space="preserve"> 39(3)</w:t>
      </w:r>
      <w:r w:rsidR="004B3C4D">
        <w:t>, 50(3)(a)</w:t>
      </w:r>
      <w:r w:rsidR="00FF0051">
        <w:t>.</w:t>
      </w:r>
    </w:p>
  </w:footnote>
  <w:footnote w:id="13">
    <w:p w14:paraId="1032DBE8" w14:textId="6BA20C1E" w:rsidR="00453148" w:rsidRDefault="00453148">
      <w:pPr>
        <w:pStyle w:val="FootnoteText"/>
      </w:pPr>
      <w:r>
        <w:rPr>
          <w:rStyle w:val="FootnoteReference"/>
        </w:rPr>
        <w:footnoteRef/>
      </w:r>
      <w:r w:rsidR="00A84794">
        <w:rPr>
          <w:i/>
          <w:iCs/>
        </w:rPr>
        <w:t xml:space="preserve"> </w:t>
      </w:r>
      <w:r>
        <w:rPr>
          <w:i/>
          <w:iCs/>
        </w:rPr>
        <w:t>Births, Deaths and Marriages Registration Bill 2022</w:t>
      </w:r>
      <w:r>
        <w:t xml:space="preserve"> (Qld) </w:t>
      </w:r>
      <w:r w:rsidR="00A84794">
        <w:t>s</w:t>
      </w:r>
      <w:r w:rsidR="00B8431D">
        <w:t>s</w:t>
      </w:r>
      <w:r w:rsidR="00A84794">
        <w:t xml:space="preserve"> 43(3)(b)</w:t>
      </w:r>
      <w:r w:rsidR="00412AED">
        <w:t>, 54(3)(b)</w:t>
      </w:r>
      <w:r w:rsidR="00A84794">
        <w:t>.</w:t>
      </w:r>
    </w:p>
  </w:footnote>
  <w:footnote w:id="14">
    <w:p w14:paraId="6A87FDA3" w14:textId="4204CE6E" w:rsidR="00412AED" w:rsidRDefault="00412AED">
      <w:pPr>
        <w:pStyle w:val="FootnoteText"/>
      </w:pPr>
      <w:r>
        <w:rPr>
          <w:rStyle w:val="FootnoteReference"/>
        </w:rPr>
        <w:footnoteRef/>
      </w:r>
      <w:r>
        <w:t xml:space="preserve"> </w:t>
      </w:r>
      <w:r>
        <w:rPr>
          <w:i/>
          <w:iCs/>
        </w:rPr>
        <w:t>Births, Deaths and Marriages Registration Bill 2022</w:t>
      </w:r>
      <w:r>
        <w:t xml:space="preserve"> (Qld) s</w:t>
      </w:r>
      <w:r w:rsidR="00B8431D">
        <w:t>s</w:t>
      </w:r>
      <w:r>
        <w:t xml:space="preserve"> 43(3)(a), 54(3)(a).</w:t>
      </w:r>
    </w:p>
  </w:footnote>
  <w:footnote w:id="15">
    <w:p w14:paraId="535134A0" w14:textId="4AAA11A8" w:rsidR="00CD363B" w:rsidRDefault="00CD363B">
      <w:pPr>
        <w:pStyle w:val="FootnoteText"/>
      </w:pPr>
      <w:r>
        <w:rPr>
          <w:rStyle w:val="FootnoteReference"/>
        </w:rPr>
        <w:footnoteRef/>
      </w:r>
      <w:r>
        <w:t xml:space="preserve"> </w:t>
      </w:r>
      <w:r>
        <w:rPr>
          <w:i/>
          <w:iCs/>
        </w:rPr>
        <w:t>Births, Deaths and Marriages Registration Bill 2022</w:t>
      </w:r>
      <w:r>
        <w:t xml:space="preserve"> (Qld) ss 43(3)(c), 54(3)(c).</w:t>
      </w:r>
    </w:p>
  </w:footnote>
  <w:footnote w:id="16">
    <w:p w14:paraId="3416629F" w14:textId="4B4242A9" w:rsidR="00C00C3E" w:rsidRDefault="00C00C3E">
      <w:pPr>
        <w:pStyle w:val="FootnoteText"/>
      </w:pPr>
      <w:r>
        <w:rPr>
          <w:rStyle w:val="FootnoteReference"/>
        </w:rPr>
        <w:footnoteRef/>
      </w:r>
      <w:r>
        <w:t xml:space="preserve"> </w:t>
      </w:r>
      <w:r>
        <w:rPr>
          <w:i/>
          <w:iCs/>
        </w:rPr>
        <w:t>Births, Deaths and Marriages Registration Bill 2022</w:t>
      </w:r>
      <w:r>
        <w:t xml:space="preserve"> (Qld) s 125.</w:t>
      </w:r>
    </w:p>
  </w:footnote>
  <w:footnote w:id="17">
    <w:p w14:paraId="27988A04" w14:textId="2530824A" w:rsidR="002D6596" w:rsidRDefault="002D6596">
      <w:pPr>
        <w:pStyle w:val="FootnoteText"/>
      </w:pPr>
      <w:r>
        <w:rPr>
          <w:rStyle w:val="FootnoteReference"/>
        </w:rPr>
        <w:footnoteRef/>
      </w:r>
      <w:r>
        <w:t xml:space="preserve"> </w:t>
      </w:r>
      <w:r>
        <w:rPr>
          <w:i/>
          <w:iCs/>
        </w:rPr>
        <w:t>Births, Deaths and Marriages Registration Bill 2022</w:t>
      </w:r>
      <w:r>
        <w:t xml:space="preserve"> (Qld) ss 40</w:t>
      </w:r>
      <w:r w:rsidR="00D464AD">
        <w:t>, 44, 45, 51, 55, 56.</w:t>
      </w:r>
    </w:p>
  </w:footnote>
  <w:footnote w:id="18">
    <w:p w14:paraId="61B82D11" w14:textId="21CA4AF3" w:rsidR="000C1BB8" w:rsidRDefault="000C1BB8">
      <w:pPr>
        <w:pStyle w:val="FootnoteText"/>
      </w:pPr>
      <w:r>
        <w:rPr>
          <w:rStyle w:val="FootnoteReference"/>
        </w:rPr>
        <w:footnoteRef/>
      </w:r>
      <w:r>
        <w:t xml:space="preserve"> </w:t>
      </w:r>
      <w:bookmarkStart w:id="7" w:name="_Hlk124263507"/>
      <w:r w:rsidR="005930D9">
        <w:t>Draft Births, Deaths and Marriages</w:t>
      </w:r>
      <w:r w:rsidR="00867F9D">
        <w:t xml:space="preserve"> Registration</w:t>
      </w:r>
      <w:r w:rsidR="005930D9">
        <w:t xml:space="preserve"> Regulation 2022 (Qld) </w:t>
      </w:r>
      <w:r w:rsidR="005D5BF1">
        <w:t>s 18</w:t>
      </w:r>
      <w:r w:rsidR="00D770DA">
        <w:t>(3)-(4).</w:t>
      </w:r>
      <w:bookmarkEnd w:id="7"/>
    </w:p>
  </w:footnote>
  <w:footnote w:id="19">
    <w:p w14:paraId="4261555B" w14:textId="1F3AA2C5" w:rsidR="00B727D8" w:rsidRPr="00322514" w:rsidRDefault="00B727D8">
      <w:pPr>
        <w:pStyle w:val="FootnoteText"/>
      </w:pPr>
      <w:r>
        <w:rPr>
          <w:rStyle w:val="FootnoteReference"/>
        </w:rPr>
        <w:footnoteRef/>
      </w:r>
      <w:r>
        <w:t xml:space="preserve"> </w:t>
      </w:r>
      <w:r w:rsidR="00FD3679">
        <w:t xml:space="preserve">See, e.g. </w:t>
      </w:r>
      <w:r w:rsidR="00867F9D">
        <w:rPr>
          <w:i/>
          <w:iCs/>
        </w:rPr>
        <w:t>Births, Deaths and Marriages</w:t>
      </w:r>
      <w:r w:rsidR="004A038A">
        <w:rPr>
          <w:i/>
          <w:iCs/>
        </w:rPr>
        <w:t xml:space="preserve"> Registration </w:t>
      </w:r>
      <w:r w:rsidR="00322514">
        <w:rPr>
          <w:i/>
          <w:iCs/>
        </w:rPr>
        <w:t>Bill 2022</w:t>
      </w:r>
      <w:r w:rsidR="00322514">
        <w:t xml:space="preserve"> (Qld) s</w:t>
      </w:r>
      <w:r w:rsidR="00E40152">
        <w:t>s</w:t>
      </w:r>
      <w:r w:rsidR="00322514">
        <w:t xml:space="preserve"> </w:t>
      </w:r>
      <w:r w:rsidR="009568FD">
        <w:t>39(4)</w:t>
      </w:r>
      <w:r w:rsidR="00E40152">
        <w:t xml:space="preserve">, 42, </w:t>
      </w:r>
      <w:r w:rsidR="00641FA1">
        <w:t xml:space="preserve">50(4), </w:t>
      </w:r>
      <w:r w:rsidR="006770D9">
        <w:t>53</w:t>
      </w:r>
      <w:r w:rsidR="00641FA1">
        <w:t xml:space="preserve">. </w:t>
      </w:r>
    </w:p>
  </w:footnote>
  <w:footnote w:id="20">
    <w:p w14:paraId="78988300" w14:textId="66C0E3A5" w:rsidR="00F000FA" w:rsidRDefault="00F000FA">
      <w:pPr>
        <w:pStyle w:val="FootnoteText"/>
      </w:pPr>
      <w:r>
        <w:rPr>
          <w:rStyle w:val="FootnoteReference"/>
        </w:rPr>
        <w:footnoteRef/>
      </w:r>
      <w:r>
        <w:t xml:space="preserve"> Draft Births, Deaths and Marriages Registration Regulation 2022 (Qld) s 18</w:t>
      </w:r>
      <w:r w:rsidR="0019645D">
        <w:t>, Sch 2.</w:t>
      </w:r>
    </w:p>
  </w:footnote>
  <w:footnote w:id="21">
    <w:p w14:paraId="70B5A2CB" w14:textId="2AC054B0" w:rsidR="00EF3E9C" w:rsidRDefault="00EF3E9C">
      <w:pPr>
        <w:pStyle w:val="FootnoteText"/>
      </w:pPr>
      <w:r>
        <w:rPr>
          <w:rStyle w:val="FootnoteReference"/>
        </w:rPr>
        <w:footnoteRef/>
      </w:r>
      <w:r>
        <w:t xml:space="preserve"> See </w:t>
      </w:r>
      <w:r w:rsidR="000E788F">
        <w:rPr>
          <w:i/>
          <w:iCs/>
        </w:rPr>
        <w:t xml:space="preserve">Re Imogen (No 6) </w:t>
      </w:r>
      <w:r w:rsidR="000E788F">
        <w:t xml:space="preserve">[2020] </w:t>
      </w:r>
      <w:proofErr w:type="spellStart"/>
      <w:r w:rsidR="000E788F">
        <w:t>FamCA</w:t>
      </w:r>
      <w:proofErr w:type="spellEnd"/>
      <w:r w:rsidR="000E788F">
        <w:t xml:space="preserve"> 761; </w:t>
      </w:r>
      <w:r w:rsidR="000E788F">
        <w:rPr>
          <w:i/>
          <w:iCs/>
        </w:rPr>
        <w:t xml:space="preserve">Re Kelvin </w:t>
      </w:r>
      <w:r w:rsidR="000E788F">
        <w:t xml:space="preserve">[2017] </w:t>
      </w:r>
      <w:proofErr w:type="spellStart"/>
      <w:r w:rsidR="000E788F">
        <w:t>FamCAFC</w:t>
      </w:r>
      <w:proofErr w:type="spellEnd"/>
      <w:r w:rsidR="000E788F">
        <w:t xml:space="preserve"> 258; </w:t>
      </w:r>
      <w:r w:rsidR="000E788F" w:rsidRPr="00864281">
        <w:rPr>
          <w:i/>
          <w:iCs/>
        </w:rPr>
        <w:t>Re Jamie</w:t>
      </w:r>
      <w:r w:rsidR="000E788F">
        <w:t xml:space="preserve"> [2013] </w:t>
      </w:r>
      <w:proofErr w:type="spellStart"/>
      <w:r w:rsidR="000E788F">
        <w:t>FamCAFC</w:t>
      </w:r>
      <w:proofErr w:type="spellEnd"/>
      <w:r w:rsidR="000E788F">
        <w:t xml:space="preserve"> 110</w:t>
      </w:r>
      <w:r w:rsidR="00FE36F6">
        <w:t xml:space="preserve">. </w:t>
      </w:r>
      <w:r w:rsidR="00F37AB7">
        <w:t>However, t</w:t>
      </w:r>
      <w:r w:rsidR="00FE36F6">
        <w:t>his has been recently questioned by the Queensland Supreme Court in</w:t>
      </w:r>
      <w:r w:rsidR="000E788F">
        <w:rPr>
          <w:i/>
          <w:iCs/>
        </w:rPr>
        <w:t xml:space="preserve"> Re A </w:t>
      </w:r>
      <w:r w:rsidR="000E788F">
        <w:t>[2022] QSC 159 [24], [27].</w:t>
      </w:r>
    </w:p>
  </w:footnote>
  <w:footnote w:id="22">
    <w:p w14:paraId="5E482A3F" w14:textId="7935E53C" w:rsidR="007E23B2" w:rsidRDefault="007E23B2">
      <w:pPr>
        <w:pStyle w:val="FootnoteText"/>
      </w:pPr>
      <w:r>
        <w:rPr>
          <w:rStyle w:val="FootnoteReference"/>
        </w:rPr>
        <w:footnoteRef/>
      </w:r>
      <w:r>
        <w:t xml:space="preserve"> See Appendix A f the ACT LGBTIQ+ Legal Audit report available here: </w:t>
      </w:r>
      <w:r w:rsidRPr="007E23B2">
        <w:t>https://equalityaustralia.org.au/wp-content/uploads/2020/11/EQAU-ACT-legal-report-2019.pdf</w:t>
      </w:r>
      <w:r>
        <w:t>.</w:t>
      </w:r>
    </w:p>
  </w:footnote>
  <w:footnote w:id="23">
    <w:p w14:paraId="21D43C7C" w14:textId="77777777" w:rsidR="00217D10" w:rsidRDefault="00217D10" w:rsidP="00217D10">
      <w:pPr>
        <w:pStyle w:val="FootnoteText"/>
      </w:pPr>
      <w:r>
        <w:rPr>
          <w:rStyle w:val="FootnoteReference"/>
        </w:rPr>
        <w:footnoteRef/>
      </w:r>
      <w:r>
        <w:t xml:space="preserve"> See </w:t>
      </w:r>
      <w:r>
        <w:rPr>
          <w:rStyle w:val="normaltextrun"/>
          <w:rFonts w:ascii="Overpass Light" w:hAnsi="Overpass Light"/>
          <w:i/>
          <w:iCs/>
          <w:color w:val="000000"/>
          <w:szCs w:val="14"/>
          <w:shd w:val="clear" w:color="auto" w:fill="FFFFFF"/>
        </w:rPr>
        <w:t>Births, Deaths and Marriages Registration Act 1996</w:t>
      </w:r>
      <w:r>
        <w:rPr>
          <w:rStyle w:val="normaltextrun"/>
          <w:rFonts w:ascii="Overpass Light" w:hAnsi="Overpass Light"/>
          <w:color w:val="000000"/>
          <w:szCs w:val="14"/>
          <w:shd w:val="clear" w:color="auto" w:fill="FFFFFF"/>
        </w:rPr>
        <w:t> (Vic)</w:t>
      </w:r>
      <w:r>
        <w:rPr>
          <w:rStyle w:val="normaltextrun"/>
          <w:rFonts w:ascii="Overpass Light" w:hAnsi="Overpass Light"/>
          <w:i/>
          <w:iCs/>
          <w:color w:val="000000"/>
          <w:szCs w:val="14"/>
          <w:shd w:val="clear" w:color="auto" w:fill="FFFFFF"/>
        </w:rPr>
        <w:t> </w:t>
      </w:r>
      <w:r>
        <w:rPr>
          <w:rStyle w:val="normaltextrun"/>
          <w:rFonts w:ascii="Overpass Light" w:hAnsi="Overpass Light"/>
          <w:color w:val="000000"/>
          <w:szCs w:val="14"/>
          <w:shd w:val="clear" w:color="auto" w:fill="FFFFFF"/>
        </w:rPr>
        <w:t>s 30FB.</w:t>
      </w:r>
    </w:p>
  </w:footnote>
  <w:footnote w:id="24">
    <w:p w14:paraId="66212FF2" w14:textId="77777777" w:rsidR="00217D10" w:rsidRPr="0051372F" w:rsidRDefault="00217D10" w:rsidP="00217D10">
      <w:pPr>
        <w:pStyle w:val="FootnoteText"/>
      </w:pPr>
      <w:r>
        <w:rPr>
          <w:rStyle w:val="FootnoteReference"/>
        </w:rPr>
        <w:footnoteRef/>
      </w:r>
      <w:r>
        <w:t xml:space="preserve"> </w:t>
      </w:r>
      <w:r>
        <w:rPr>
          <w:i/>
          <w:iCs/>
        </w:rPr>
        <w:t xml:space="preserve">Births, Deaths and Marriages registration Act 1996 </w:t>
      </w:r>
      <w:r>
        <w:t>(SA)</w:t>
      </w:r>
      <w:r>
        <w:rPr>
          <w:i/>
          <w:iCs/>
        </w:rPr>
        <w:t xml:space="preserve"> </w:t>
      </w:r>
      <w:proofErr w:type="spellStart"/>
      <w:r>
        <w:t>Div</w:t>
      </w:r>
      <w:proofErr w:type="spellEnd"/>
      <w:r>
        <w:t xml:space="preserve"> 2; </w:t>
      </w:r>
      <w:r>
        <w:rPr>
          <w:i/>
          <w:iCs/>
        </w:rPr>
        <w:t xml:space="preserve">Births, Deaths and Marriages registration Act 1997 </w:t>
      </w:r>
      <w:r>
        <w:t>(ACT)</w:t>
      </w:r>
      <w:r>
        <w:rPr>
          <w:i/>
          <w:iCs/>
        </w:rPr>
        <w:t xml:space="preserve"> </w:t>
      </w:r>
      <w:proofErr w:type="spellStart"/>
      <w:r>
        <w:t>Div</w:t>
      </w:r>
      <w:proofErr w:type="spellEnd"/>
      <w:r>
        <w:t xml:space="preserve"> 3.2; </w:t>
      </w:r>
      <w:r>
        <w:rPr>
          <w:i/>
          <w:iCs/>
        </w:rPr>
        <w:t xml:space="preserve">Births, Deaths and Marriages registration Act 1998 </w:t>
      </w:r>
      <w:r>
        <w:t xml:space="preserve">(WA) </w:t>
      </w:r>
      <w:proofErr w:type="spellStart"/>
      <w:r>
        <w:t>Div</w:t>
      </w:r>
      <w:proofErr w:type="spellEnd"/>
      <w:r>
        <w:t xml:space="preserve"> 3; </w:t>
      </w:r>
      <w:r>
        <w:rPr>
          <w:i/>
          <w:iCs/>
        </w:rPr>
        <w:t xml:space="preserve">Births, Deaths and Marriages registration Act 1995 </w:t>
      </w:r>
      <w:r>
        <w:t>(NSW)</w:t>
      </w:r>
      <w:r>
        <w:rPr>
          <w:i/>
          <w:iCs/>
        </w:rPr>
        <w:t xml:space="preserve"> </w:t>
      </w:r>
      <w:proofErr w:type="spellStart"/>
      <w:r>
        <w:t>Div</w:t>
      </w:r>
      <w:proofErr w:type="spellEnd"/>
      <w:r>
        <w:t xml:space="preserve"> 3.</w:t>
      </w:r>
    </w:p>
  </w:footnote>
  <w:footnote w:id="25">
    <w:p w14:paraId="2E530CD3" w14:textId="77777777" w:rsidR="005B741B" w:rsidRPr="005B741B" w:rsidRDefault="005B741B">
      <w:pPr>
        <w:pStyle w:val="FootnoteText"/>
      </w:pPr>
      <w:r>
        <w:rPr>
          <w:rStyle w:val="FootnoteReference"/>
        </w:rPr>
        <w:footnoteRef/>
      </w:r>
      <w:r>
        <w:t xml:space="preserve"> </w:t>
      </w:r>
      <w:r>
        <w:rPr>
          <w:i/>
          <w:iCs/>
        </w:rPr>
        <w:t>Births, Deaths and Marriages Registration Bill 2022</w:t>
      </w:r>
      <w:r>
        <w:t xml:space="preserve"> (Qld) s 166. </w:t>
      </w:r>
    </w:p>
  </w:footnote>
  <w:footnote w:id="26">
    <w:p w14:paraId="6E0553E9" w14:textId="4769D2A1" w:rsidR="00333721" w:rsidRPr="00BC1CFB" w:rsidRDefault="00333721" w:rsidP="00333721">
      <w:pPr>
        <w:pStyle w:val="FootnoteText"/>
      </w:pPr>
      <w:r>
        <w:rPr>
          <w:rStyle w:val="FootnoteReference"/>
        </w:rPr>
        <w:footnoteRef/>
      </w:r>
      <w:r>
        <w:t xml:space="preserve"> </w:t>
      </w:r>
      <w:r w:rsidR="00BC1CFB">
        <w:t xml:space="preserve">Queensland Human Rights Commission (2022) </w:t>
      </w:r>
      <w:hyperlink r:id="rId6" w:history="1">
        <w:r w:rsidR="00BC1CFB" w:rsidRPr="00343C45">
          <w:rPr>
            <w:rStyle w:val="Hyperlink"/>
            <w:i/>
            <w:iCs/>
          </w:rPr>
          <w:t>Building belonging: Review of Queensland’s Anti-Discrimination Act 1991</w:t>
        </w:r>
      </w:hyperlink>
      <w:r w:rsidR="00343C45">
        <w:t xml:space="preserve">, </w:t>
      </w:r>
      <w:r w:rsidR="00B25615">
        <w:t xml:space="preserve">110, </w:t>
      </w:r>
      <w:r w:rsidR="00343C45">
        <w:t>rec 3.</w:t>
      </w:r>
    </w:p>
  </w:footnote>
  <w:footnote w:id="27">
    <w:p w14:paraId="376F60D4" w14:textId="2F66D649" w:rsidR="00A74D58" w:rsidRDefault="00A74D58">
      <w:pPr>
        <w:pStyle w:val="FootnoteText"/>
      </w:pPr>
      <w:r>
        <w:rPr>
          <w:rStyle w:val="FootnoteReference"/>
        </w:rPr>
        <w:footnoteRef/>
      </w:r>
      <w:r>
        <w:t xml:space="preserve"> </w:t>
      </w:r>
      <w:r w:rsidR="00E30DF5">
        <w:t>See e.g. Australian Human Rights Commission (2021)</w:t>
      </w:r>
      <w:r w:rsidR="005C700D">
        <w:t xml:space="preserve"> </w:t>
      </w:r>
      <w:hyperlink r:id="rId7" w:anchor="SaesK" w:history="1">
        <w:r w:rsidR="005C700D" w:rsidRPr="00632C4E">
          <w:rPr>
            <w:rStyle w:val="Hyperlink"/>
            <w:i/>
            <w:iCs/>
          </w:rPr>
          <w:t>Ensuring health and bodily integrity: towards a human rights approach for people born with variations in sex characteristics</w:t>
        </w:r>
        <w:r w:rsidR="00632C4E" w:rsidRPr="00632C4E">
          <w:rPr>
            <w:rStyle w:val="Hyperlink"/>
            <w:i/>
            <w:iCs/>
          </w:rPr>
          <w:t xml:space="preserve"> report</w:t>
        </w:r>
      </w:hyperlink>
      <w:r w:rsidR="00632C4E">
        <w:t>,</w:t>
      </w:r>
      <w:r w:rsidR="00DE4D26">
        <w:t xml:space="preserve"> 32</w:t>
      </w:r>
      <w:r w:rsidR="00FA6C71">
        <w:t>, 41, 43</w:t>
      </w:r>
      <w:r w:rsidR="00F71222">
        <w:t>, 120, 131</w:t>
      </w:r>
      <w:r w:rsidR="005C700D">
        <w:t>.</w:t>
      </w:r>
      <w:r w:rsidR="00E30DF5" w:rsidRPr="0074052A">
        <w:rPr>
          <w:highlight w:val="yellow"/>
        </w:rPr>
        <w:t xml:space="preserve"> </w:t>
      </w:r>
    </w:p>
  </w:footnote>
  <w:footnote w:id="28">
    <w:p w14:paraId="5D710170" w14:textId="645F675F" w:rsidR="00333721" w:rsidRPr="00FE0692" w:rsidRDefault="00333721" w:rsidP="00333721">
      <w:pPr>
        <w:pStyle w:val="FootnoteText"/>
        <w:rPr>
          <w:lang w:val="en-GB"/>
        </w:rPr>
      </w:pPr>
      <w:r>
        <w:rPr>
          <w:rStyle w:val="FootnoteReference"/>
        </w:rPr>
        <w:footnoteRef/>
      </w:r>
      <w:r>
        <w:t xml:space="preserve"> </w:t>
      </w:r>
      <w:r>
        <w:rPr>
          <w:i/>
          <w:iCs/>
        </w:rPr>
        <w:t>Variations in Sex Characteristics (Restricted Medical Treatment) Bill 2022</w:t>
      </w:r>
      <w:r>
        <w:t xml:space="preserve"> (ACT);</w:t>
      </w:r>
      <w:r>
        <w:rPr>
          <w:i/>
          <w:iCs/>
        </w:rPr>
        <w:t xml:space="preserve"> </w:t>
      </w:r>
      <w:r>
        <w:t>State of Victoria, Department of Health and Human Services</w:t>
      </w:r>
      <w:r w:rsidR="00FC741D">
        <w:rPr>
          <w:lang w:val="en-GB"/>
        </w:rPr>
        <w:t xml:space="preserve"> (2021)</w:t>
      </w:r>
      <w:r w:rsidRPr="00AB1013">
        <w:rPr>
          <w:i/>
          <w:iCs/>
          <w:lang w:val="en-GB"/>
        </w:rPr>
        <w:t xml:space="preserve"> </w:t>
      </w:r>
      <w:hyperlink r:id="rId8" w:history="1">
        <w:r w:rsidRPr="006F309D">
          <w:rPr>
            <w:rStyle w:val="Hyperlink"/>
            <w:i/>
            <w:iCs/>
            <w:lang w:val="en-GB"/>
          </w:rPr>
          <w:t>(</w:t>
        </w:r>
        <w:proofErr w:type="spellStart"/>
        <w:r w:rsidRPr="006F309D">
          <w:rPr>
            <w:rStyle w:val="Hyperlink"/>
            <w:i/>
            <w:iCs/>
            <w:lang w:val="en-GB"/>
          </w:rPr>
          <w:t>i</w:t>
        </w:r>
        <w:proofErr w:type="spellEnd"/>
        <w:r w:rsidRPr="006F309D">
          <w:rPr>
            <w:rStyle w:val="Hyperlink"/>
            <w:i/>
            <w:iCs/>
            <w:lang w:val="en-GB"/>
          </w:rPr>
          <w:t>) Am Equal: Future Directions for Victoria’s Intersex Community</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8069" w14:textId="27FA80F5" w:rsidR="005375D5" w:rsidRDefault="00B176F7" w:rsidP="00CA34DF">
    <w:pPr>
      <w:pStyle w:val="Header"/>
    </w:pPr>
    <w:r>
      <w:rPr>
        <w:noProof/>
      </w:rPr>
      <w:drawing>
        <wp:anchor distT="0" distB="0" distL="114300" distR="114300" simplePos="0" relativeHeight="251658240" behindDoc="1" locked="1" layoutInCell="1" allowOverlap="1" wp14:anchorId="50320FF1" wp14:editId="5B5477C5">
          <wp:simplePos x="1258784" y="522514"/>
          <wp:positionH relativeFrom="page">
            <wp:align>left</wp:align>
          </wp:positionH>
          <wp:positionV relativeFrom="page">
            <wp:align>top</wp:align>
          </wp:positionV>
          <wp:extent cx="7559040" cy="1068832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AU Report simple covers_Page_1.png"/>
                  <pic:cNvPicPr/>
                </pic:nvPicPr>
                <pic:blipFill>
                  <a:blip r:embed="rId1">
                    <a:extLst>
                      <a:ext uri="{28A0092B-C50C-407E-A947-70E740481C1C}">
                        <a14:useLocalDpi xmlns:a14="http://schemas.microsoft.com/office/drawing/2010/main" val="0"/>
                      </a:ext>
                    </a:extLst>
                  </a:blip>
                  <a:stretch>
                    <a:fillRect/>
                  </a:stretch>
                </pic:blipFill>
                <pic:spPr>
                  <a:xfrm>
                    <a:off x="0" y="0"/>
                    <a:ext cx="755927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FE6C" w14:textId="70C016C3" w:rsidR="008D531D" w:rsidRDefault="008D531D" w:rsidP="00CA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079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509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5A1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342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64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904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49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418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CC2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CD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95E7C"/>
    <w:multiLevelType w:val="hybridMultilevel"/>
    <w:tmpl w:val="69FC69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F6755D"/>
    <w:multiLevelType w:val="hybridMultilevel"/>
    <w:tmpl w:val="962CA926"/>
    <w:lvl w:ilvl="0" w:tplc="3AE6FCDE">
      <w:start w:val="7"/>
      <w:numFmt w:val="bullet"/>
      <w:lvlText w:val="-"/>
      <w:lvlJc w:val="left"/>
      <w:pPr>
        <w:ind w:left="720" w:hanging="360"/>
      </w:pPr>
      <w:rPr>
        <w:rFonts w:ascii="Overpass Light" w:eastAsiaTheme="minorHAnsi" w:hAnsi="Overpass Light" w:cstheme="minorBid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B2091"/>
    <w:multiLevelType w:val="hybridMultilevel"/>
    <w:tmpl w:val="4592806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844748"/>
    <w:multiLevelType w:val="hybridMultilevel"/>
    <w:tmpl w:val="486846B2"/>
    <w:lvl w:ilvl="0" w:tplc="EE5CBFB0">
      <w:start w:val="1"/>
      <w:numFmt w:val="bullet"/>
      <w:pStyle w:val="Bullet"/>
      <w:lvlText w:val=""/>
      <w:lvlJc w:val="left"/>
      <w:pPr>
        <w:ind w:left="14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852403"/>
    <w:multiLevelType w:val="multilevel"/>
    <w:tmpl w:val="ECAAE00C"/>
    <w:lvl w:ilvl="0">
      <w:start w:val="1"/>
      <w:numFmt w:val="decimal"/>
      <w:pStyle w:val="Heading1"/>
      <w:lvlText w:val="%1."/>
      <w:lvlJc w:val="left"/>
      <w:pPr>
        <w:tabs>
          <w:tab w:val="num" w:pos="567"/>
        </w:tabs>
        <w:ind w:left="567" w:hanging="567"/>
      </w:pPr>
      <w:rPr>
        <w:rFonts w:hint="default"/>
      </w:rPr>
    </w:lvl>
    <w:lvl w:ilvl="1">
      <w:start w:val="1"/>
      <w:numFmt w:val="lowerLetter"/>
      <w:pStyle w:val="Heading2"/>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B403A04"/>
    <w:multiLevelType w:val="hybridMultilevel"/>
    <w:tmpl w:val="BA142DE6"/>
    <w:lvl w:ilvl="0" w:tplc="CED41388">
      <w:start w:val="7"/>
      <w:numFmt w:val="bullet"/>
      <w:lvlText w:val="-"/>
      <w:lvlJc w:val="left"/>
      <w:pPr>
        <w:ind w:left="720" w:hanging="360"/>
      </w:pPr>
      <w:rPr>
        <w:rFonts w:ascii="Overpass Light" w:eastAsiaTheme="minorHAnsi" w:hAnsi="Overpas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5156EB"/>
    <w:multiLevelType w:val="hybridMultilevel"/>
    <w:tmpl w:val="69FC6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673808">
    <w:abstractNumId w:val="9"/>
  </w:num>
  <w:num w:numId="2" w16cid:durableId="1166239101">
    <w:abstractNumId w:val="7"/>
  </w:num>
  <w:num w:numId="3" w16cid:durableId="200481374">
    <w:abstractNumId w:val="6"/>
  </w:num>
  <w:num w:numId="4" w16cid:durableId="1626619746">
    <w:abstractNumId w:val="5"/>
  </w:num>
  <w:num w:numId="5" w16cid:durableId="1502895060">
    <w:abstractNumId w:val="4"/>
  </w:num>
  <w:num w:numId="6" w16cid:durableId="1258637156">
    <w:abstractNumId w:val="8"/>
  </w:num>
  <w:num w:numId="7" w16cid:durableId="219948089">
    <w:abstractNumId w:val="3"/>
  </w:num>
  <w:num w:numId="8" w16cid:durableId="341665629">
    <w:abstractNumId w:val="2"/>
  </w:num>
  <w:num w:numId="9" w16cid:durableId="1721318026">
    <w:abstractNumId w:val="1"/>
  </w:num>
  <w:num w:numId="10" w16cid:durableId="1439257664">
    <w:abstractNumId w:val="0"/>
  </w:num>
  <w:num w:numId="11" w16cid:durableId="1689091424">
    <w:abstractNumId w:val="14"/>
  </w:num>
  <w:num w:numId="12" w16cid:durableId="197395194">
    <w:abstractNumId w:val="13"/>
  </w:num>
  <w:num w:numId="13" w16cid:durableId="883058115">
    <w:abstractNumId w:val="16"/>
  </w:num>
  <w:num w:numId="14" w16cid:durableId="1428382786">
    <w:abstractNumId w:val="12"/>
  </w:num>
  <w:num w:numId="15" w16cid:durableId="71976860">
    <w:abstractNumId w:val="10"/>
  </w:num>
  <w:num w:numId="16" w16cid:durableId="339240917">
    <w:abstractNumId w:val="11"/>
  </w:num>
  <w:num w:numId="17" w16cid:durableId="1854833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EQAUTable"/>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D5"/>
    <w:rsid w:val="000002D7"/>
    <w:rsid w:val="00000AA6"/>
    <w:rsid w:val="000012B2"/>
    <w:rsid w:val="0000158F"/>
    <w:rsid w:val="00001B10"/>
    <w:rsid w:val="00002135"/>
    <w:rsid w:val="000025FF"/>
    <w:rsid w:val="00002DC3"/>
    <w:rsid w:val="00005399"/>
    <w:rsid w:val="00006F2A"/>
    <w:rsid w:val="00010827"/>
    <w:rsid w:val="00011EC7"/>
    <w:rsid w:val="0001249C"/>
    <w:rsid w:val="00012FBC"/>
    <w:rsid w:val="00013733"/>
    <w:rsid w:val="0001379B"/>
    <w:rsid w:val="00014397"/>
    <w:rsid w:val="000160D2"/>
    <w:rsid w:val="00016FC2"/>
    <w:rsid w:val="00021E49"/>
    <w:rsid w:val="00022534"/>
    <w:rsid w:val="000228CF"/>
    <w:rsid w:val="00024C54"/>
    <w:rsid w:val="00025D67"/>
    <w:rsid w:val="00027243"/>
    <w:rsid w:val="000274E7"/>
    <w:rsid w:val="000279A6"/>
    <w:rsid w:val="00027D1D"/>
    <w:rsid w:val="00031074"/>
    <w:rsid w:val="00032272"/>
    <w:rsid w:val="000324A7"/>
    <w:rsid w:val="00032921"/>
    <w:rsid w:val="00033143"/>
    <w:rsid w:val="00033A68"/>
    <w:rsid w:val="00035084"/>
    <w:rsid w:val="00037543"/>
    <w:rsid w:val="0004012A"/>
    <w:rsid w:val="0004018D"/>
    <w:rsid w:val="00040793"/>
    <w:rsid w:val="00046071"/>
    <w:rsid w:val="000460BD"/>
    <w:rsid w:val="00046A4E"/>
    <w:rsid w:val="00047507"/>
    <w:rsid w:val="000502C4"/>
    <w:rsid w:val="000518C1"/>
    <w:rsid w:val="00051EB3"/>
    <w:rsid w:val="00052081"/>
    <w:rsid w:val="00053BBC"/>
    <w:rsid w:val="00053D4B"/>
    <w:rsid w:val="00053DCD"/>
    <w:rsid w:val="00055EC8"/>
    <w:rsid w:val="00056FBA"/>
    <w:rsid w:val="000600B8"/>
    <w:rsid w:val="0006012E"/>
    <w:rsid w:val="00060407"/>
    <w:rsid w:val="000606E0"/>
    <w:rsid w:val="00062FA6"/>
    <w:rsid w:val="00065B6D"/>
    <w:rsid w:val="00065E3C"/>
    <w:rsid w:val="000665A0"/>
    <w:rsid w:val="000666EC"/>
    <w:rsid w:val="0007062B"/>
    <w:rsid w:val="00071169"/>
    <w:rsid w:val="00072748"/>
    <w:rsid w:val="00072C03"/>
    <w:rsid w:val="00074647"/>
    <w:rsid w:val="000769FB"/>
    <w:rsid w:val="00076C2F"/>
    <w:rsid w:val="00077C3F"/>
    <w:rsid w:val="000816D7"/>
    <w:rsid w:val="000829E2"/>
    <w:rsid w:val="0008467B"/>
    <w:rsid w:val="00087C8F"/>
    <w:rsid w:val="000946AC"/>
    <w:rsid w:val="00095430"/>
    <w:rsid w:val="00095D75"/>
    <w:rsid w:val="000960B6"/>
    <w:rsid w:val="00096471"/>
    <w:rsid w:val="000A048B"/>
    <w:rsid w:val="000A0550"/>
    <w:rsid w:val="000A575A"/>
    <w:rsid w:val="000A6B47"/>
    <w:rsid w:val="000A6CE1"/>
    <w:rsid w:val="000B0976"/>
    <w:rsid w:val="000B2E0F"/>
    <w:rsid w:val="000B5D3B"/>
    <w:rsid w:val="000B631C"/>
    <w:rsid w:val="000C1BB8"/>
    <w:rsid w:val="000C21E7"/>
    <w:rsid w:val="000C2921"/>
    <w:rsid w:val="000C30D4"/>
    <w:rsid w:val="000C453E"/>
    <w:rsid w:val="000C5D5F"/>
    <w:rsid w:val="000C75F5"/>
    <w:rsid w:val="000C7F3E"/>
    <w:rsid w:val="000D20D2"/>
    <w:rsid w:val="000D2655"/>
    <w:rsid w:val="000D2752"/>
    <w:rsid w:val="000D291A"/>
    <w:rsid w:val="000D2E88"/>
    <w:rsid w:val="000D32C1"/>
    <w:rsid w:val="000D3B9F"/>
    <w:rsid w:val="000D5000"/>
    <w:rsid w:val="000D578D"/>
    <w:rsid w:val="000D6590"/>
    <w:rsid w:val="000D686B"/>
    <w:rsid w:val="000D7044"/>
    <w:rsid w:val="000E0E0D"/>
    <w:rsid w:val="000E181C"/>
    <w:rsid w:val="000E2155"/>
    <w:rsid w:val="000E3812"/>
    <w:rsid w:val="000E6DA6"/>
    <w:rsid w:val="000E6F18"/>
    <w:rsid w:val="000E788F"/>
    <w:rsid w:val="000F0797"/>
    <w:rsid w:val="000F11C1"/>
    <w:rsid w:val="000F17CF"/>
    <w:rsid w:val="000F25D2"/>
    <w:rsid w:val="000F2608"/>
    <w:rsid w:val="000F4582"/>
    <w:rsid w:val="000F5665"/>
    <w:rsid w:val="000F6691"/>
    <w:rsid w:val="00100841"/>
    <w:rsid w:val="00101B7F"/>
    <w:rsid w:val="001025FF"/>
    <w:rsid w:val="00102611"/>
    <w:rsid w:val="00102EC4"/>
    <w:rsid w:val="001058C9"/>
    <w:rsid w:val="00105B5F"/>
    <w:rsid w:val="00106895"/>
    <w:rsid w:val="00111EC2"/>
    <w:rsid w:val="00113D10"/>
    <w:rsid w:val="00115C8C"/>
    <w:rsid w:val="00116B94"/>
    <w:rsid w:val="00120921"/>
    <w:rsid w:val="00121EF4"/>
    <w:rsid w:val="001244C2"/>
    <w:rsid w:val="00124681"/>
    <w:rsid w:val="00124C5F"/>
    <w:rsid w:val="00131130"/>
    <w:rsid w:val="00131696"/>
    <w:rsid w:val="001328DC"/>
    <w:rsid w:val="00132C5E"/>
    <w:rsid w:val="0013362F"/>
    <w:rsid w:val="00134B81"/>
    <w:rsid w:val="00135485"/>
    <w:rsid w:val="00136494"/>
    <w:rsid w:val="00136F1D"/>
    <w:rsid w:val="00137414"/>
    <w:rsid w:val="00140D8C"/>
    <w:rsid w:val="00141E38"/>
    <w:rsid w:val="00142B18"/>
    <w:rsid w:val="001442A0"/>
    <w:rsid w:val="0014433B"/>
    <w:rsid w:val="00145869"/>
    <w:rsid w:val="0015165A"/>
    <w:rsid w:val="00151AA1"/>
    <w:rsid w:val="00151B7E"/>
    <w:rsid w:val="001521BD"/>
    <w:rsid w:val="00152217"/>
    <w:rsid w:val="001530FD"/>
    <w:rsid w:val="00154995"/>
    <w:rsid w:val="001563A8"/>
    <w:rsid w:val="00156435"/>
    <w:rsid w:val="00157287"/>
    <w:rsid w:val="001649D8"/>
    <w:rsid w:val="00164CAA"/>
    <w:rsid w:val="00165E24"/>
    <w:rsid w:val="00165EF8"/>
    <w:rsid w:val="00166677"/>
    <w:rsid w:val="00167CDA"/>
    <w:rsid w:val="00171A65"/>
    <w:rsid w:val="00172B8C"/>
    <w:rsid w:val="00172C13"/>
    <w:rsid w:val="00173B29"/>
    <w:rsid w:val="00175F19"/>
    <w:rsid w:val="0018186E"/>
    <w:rsid w:val="00181995"/>
    <w:rsid w:val="00182DEB"/>
    <w:rsid w:val="0018409D"/>
    <w:rsid w:val="00184122"/>
    <w:rsid w:val="0018448A"/>
    <w:rsid w:val="00184786"/>
    <w:rsid w:val="00187578"/>
    <w:rsid w:val="00187B78"/>
    <w:rsid w:val="00190B84"/>
    <w:rsid w:val="001918F8"/>
    <w:rsid w:val="00191ECD"/>
    <w:rsid w:val="00192494"/>
    <w:rsid w:val="00193325"/>
    <w:rsid w:val="00193D18"/>
    <w:rsid w:val="00194E93"/>
    <w:rsid w:val="00194FC4"/>
    <w:rsid w:val="0019645D"/>
    <w:rsid w:val="001976A9"/>
    <w:rsid w:val="001977F7"/>
    <w:rsid w:val="0019782A"/>
    <w:rsid w:val="00197CAE"/>
    <w:rsid w:val="001A0DBF"/>
    <w:rsid w:val="001A2266"/>
    <w:rsid w:val="001A2D32"/>
    <w:rsid w:val="001A3A8B"/>
    <w:rsid w:val="001A53AF"/>
    <w:rsid w:val="001A5682"/>
    <w:rsid w:val="001A58B0"/>
    <w:rsid w:val="001B3D0A"/>
    <w:rsid w:val="001B4561"/>
    <w:rsid w:val="001B46F5"/>
    <w:rsid w:val="001B6052"/>
    <w:rsid w:val="001B65BE"/>
    <w:rsid w:val="001B6833"/>
    <w:rsid w:val="001B6C08"/>
    <w:rsid w:val="001B7552"/>
    <w:rsid w:val="001C00A0"/>
    <w:rsid w:val="001C4309"/>
    <w:rsid w:val="001C58E8"/>
    <w:rsid w:val="001C6A0B"/>
    <w:rsid w:val="001D257D"/>
    <w:rsid w:val="001D5DF1"/>
    <w:rsid w:val="001D5E16"/>
    <w:rsid w:val="001D7EA0"/>
    <w:rsid w:val="001E0799"/>
    <w:rsid w:val="001E0CCC"/>
    <w:rsid w:val="001E1832"/>
    <w:rsid w:val="001E255D"/>
    <w:rsid w:val="001E2A80"/>
    <w:rsid w:val="001E3C5F"/>
    <w:rsid w:val="001E4BF7"/>
    <w:rsid w:val="001E589F"/>
    <w:rsid w:val="001E6394"/>
    <w:rsid w:val="001E7589"/>
    <w:rsid w:val="001E7C21"/>
    <w:rsid w:val="001F22C2"/>
    <w:rsid w:val="001F3375"/>
    <w:rsid w:val="001F345A"/>
    <w:rsid w:val="001F693D"/>
    <w:rsid w:val="001F7909"/>
    <w:rsid w:val="002003B4"/>
    <w:rsid w:val="0020062A"/>
    <w:rsid w:val="0020080B"/>
    <w:rsid w:val="00201602"/>
    <w:rsid w:val="00202CE1"/>
    <w:rsid w:val="00202FE2"/>
    <w:rsid w:val="002032AB"/>
    <w:rsid w:val="00203939"/>
    <w:rsid w:val="00203AA6"/>
    <w:rsid w:val="002053B4"/>
    <w:rsid w:val="00206A53"/>
    <w:rsid w:val="00207F9E"/>
    <w:rsid w:val="002109B9"/>
    <w:rsid w:val="002111B3"/>
    <w:rsid w:val="002118A8"/>
    <w:rsid w:val="00211F2A"/>
    <w:rsid w:val="00213295"/>
    <w:rsid w:val="002164EE"/>
    <w:rsid w:val="002169F2"/>
    <w:rsid w:val="00217D10"/>
    <w:rsid w:val="00221FB1"/>
    <w:rsid w:val="0022228E"/>
    <w:rsid w:val="00222517"/>
    <w:rsid w:val="002232B0"/>
    <w:rsid w:val="00223617"/>
    <w:rsid w:val="00223B01"/>
    <w:rsid w:val="00223DC1"/>
    <w:rsid w:val="00223F49"/>
    <w:rsid w:val="00226ACE"/>
    <w:rsid w:val="00226B66"/>
    <w:rsid w:val="002273F8"/>
    <w:rsid w:val="00230347"/>
    <w:rsid w:val="002304AE"/>
    <w:rsid w:val="002306C6"/>
    <w:rsid w:val="00230EF7"/>
    <w:rsid w:val="00232A79"/>
    <w:rsid w:val="00232E5B"/>
    <w:rsid w:val="002343FA"/>
    <w:rsid w:val="00241644"/>
    <w:rsid w:val="002417FB"/>
    <w:rsid w:val="00241884"/>
    <w:rsid w:val="002421C7"/>
    <w:rsid w:val="00243A26"/>
    <w:rsid w:val="00243D79"/>
    <w:rsid w:val="002452A4"/>
    <w:rsid w:val="00245B25"/>
    <w:rsid w:val="002467BC"/>
    <w:rsid w:val="002472E9"/>
    <w:rsid w:val="002522A6"/>
    <w:rsid w:val="00252E56"/>
    <w:rsid w:val="00252E69"/>
    <w:rsid w:val="00252F4D"/>
    <w:rsid w:val="00254305"/>
    <w:rsid w:val="0025435C"/>
    <w:rsid w:val="00256004"/>
    <w:rsid w:val="0026238B"/>
    <w:rsid w:val="002641DC"/>
    <w:rsid w:val="0026610F"/>
    <w:rsid w:val="0026739E"/>
    <w:rsid w:val="00270362"/>
    <w:rsid w:val="0027156B"/>
    <w:rsid w:val="0027239D"/>
    <w:rsid w:val="002753C5"/>
    <w:rsid w:val="002762D9"/>
    <w:rsid w:val="002766D9"/>
    <w:rsid w:val="00283BE5"/>
    <w:rsid w:val="00283DB3"/>
    <w:rsid w:val="0028519F"/>
    <w:rsid w:val="00291141"/>
    <w:rsid w:val="002928C4"/>
    <w:rsid w:val="002929F5"/>
    <w:rsid w:val="00294C82"/>
    <w:rsid w:val="0029694F"/>
    <w:rsid w:val="002A0E2A"/>
    <w:rsid w:val="002A183A"/>
    <w:rsid w:val="002A1C5A"/>
    <w:rsid w:val="002A2510"/>
    <w:rsid w:val="002A2764"/>
    <w:rsid w:val="002A2873"/>
    <w:rsid w:val="002A53D2"/>
    <w:rsid w:val="002A5A9B"/>
    <w:rsid w:val="002A635C"/>
    <w:rsid w:val="002A6883"/>
    <w:rsid w:val="002A79EB"/>
    <w:rsid w:val="002B1788"/>
    <w:rsid w:val="002B1B58"/>
    <w:rsid w:val="002B2030"/>
    <w:rsid w:val="002B44D4"/>
    <w:rsid w:val="002B6285"/>
    <w:rsid w:val="002B665D"/>
    <w:rsid w:val="002C10AF"/>
    <w:rsid w:val="002C1544"/>
    <w:rsid w:val="002C24BB"/>
    <w:rsid w:val="002C50D6"/>
    <w:rsid w:val="002C53CA"/>
    <w:rsid w:val="002C583A"/>
    <w:rsid w:val="002C617A"/>
    <w:rsid w:val="002D24E5"/>
    <w:rsid w:val="002D3749"/>
    <w:rsid w:val="002D586C"/>
    <w:rsid w:val="002D5CC6"/>
    <w:rsid w:val="002D6596"/>
    <w:rsid w:val="002D67CE"/>
    <w:rsid w:val="002E2E94"/>
    <w:rsid w:val="002E3620"/>
    <w:rsid w:val="002E463C"/>
    <w:rsid w:val="002E4AD2"/>
    <w:rsid w:val="002E4CC3"/>
    <w:rsid w:val="002E5355"/>
    <w:rsid w:val="002E5F85"/>
    <w:rsid w:val="002F0A77"/>
    <w:rsid w:val="002F0F80"/>
    <w:rsid w:val="002F0FD9"/>
    <w:rsid w:val="002F1DF1"/>
    <w:rsid w:val="002F2D9B"/>
    <w:rsid w:val="002F48CA"/>
    <w:rsid w:val="002F4E48"/>
    <w:rsid w:val="002F5004"/>
    <w:rsid w:val="002F683D"/>
    <w:rsid w:val="00302184"/>
    <w:rsid w:val="00304283"/>
    <w:rsid w:val="0030524D"/>
    <w:rsid w:val="00305946"/>
    <w:rsid w:val="003106E6"/>
    <w:rsid w:val="00313ABC"/>
    <w:rsid w:val="00313D00"/>
    <w:rsid w:val="003141F9"/>
    <w:rsid w:val="0031497E"/>
    <w:rsid w:val="0031655E"/>
    <w:rsid w:val="00316868"/>
    <w:rsid w:val="0032016A"/>
    <w:rsid w:val="00321A71"/>
    <w:rsid w:val="00322514"/>
    <w:rsid w:val="0032275F"/>
    <w:rsid w:val="003241DC"/>
    <w:rsid w:val="003241E5"/>
    <w:rsid w:val="00324BD4"/>
    <w:rsid w:val="00324D08"/>
    <w:rsid w:val="003264F0"/>
    <w:rsid w:val="00327AD4"/>
    <w:rsid w:val="00327C7B"/>
    <w:rsid w:val="00331801"/>
    <w:rsid w:val="00331DB8"/>
    <w:rsid w:val="0033366F"/>
    <w:rsid w:val="00333671"/>
    <w:rsid w:val="00333721"/>
    <w:rsid w:val="00334F77"/>
    <w:rsid w:val="003359DF"/>
    <w:rsid w:val="00341357"/>
    <w:rsid w:val="003413AD"/>
    <w:rsid w:val="00343C45"/>
    <w:rsid w:val="00344123"/>
    <w:rsid w:val="0034672E"/>
    <w:rsid w:val="00346C78"/>
    <w:rsid w:val="0034797B"/>
    <w:rsid w:val="00352195"/>
    <w:rsid w:val="00356BE9"/>
    <w:rsid w:val="00357E66"/>
    <w:rsid w:val="00363720"/>
    <w:rsid w:val="00363D1D"/>
    <w:rsid w:val="00363FE9"/>
    <w:rsid w:val="00364856"/>
    <w:rsid w:val="00365317"/>
    <w:rsid w:val="0037334A"/>
    <w:rsid w:val="003733BB"/>
    <w:rsid w:val="00374088"/>
    <w:rsid w:val="0037412D"/>
    <w:rsid w:val="00376AF9"/>
    <w:rsid w:val="003770E6"/>
    <w:rsid w:val="00382F9C"/>
    <w:rsid w:val="003833AF"/>
    <w:rsid w:val="00383ACE"/>
    <w:rsid w:val="00384F26"/>
    <w:rsid w:val="00387566"/>
    <w:rsid w:val="00387917"/>
    <w:rsid w:val="00390A3A"/>
    <w:rsid w:val="00390EF3"/>
    <w:rsid w:val="0039315B"/>
    <w:rsid w:val="003933FE"/>
    <w:rsid w:val="00394C00"/>
    <w:rsid w:val="0039529A"/>
    <w:rsid w:val="003A268C"/>
    <w:rsid w:val="003A28D8"/>
    <w:rsid w:val="003A34C4"/>
    <w:rsid w:val="003A3F43"/>
    <w:rsid w:val="003A4BC1"/>
    <w:rsid w:val="003A5217"/>
    <w:rsid w:val="003A6D1A"/>
    <w:rsid w:val="003A7B33"/>
    <w:rsid w:val="003B10E8"/>
    <w:rsid w:val="003B20EF"/>
    <w:rsid w:val="003B2259"/>
    <w:rsid w:val="003B2823"/>
    <w:rsid w:val="003B34A1"/>
    <w:rsid w:val="003B448D"/>
    <w:rsid w:val="003B515E"/>
    <w:rsid w:val="003B5D84"/>
    <w:rsid w:val="003B64D7"/>
    <w:rsid w:val="003B6674"/>
    <w:rsid w:val="003B67C8"/>
    <w:rsid w:val="003B7AC7"/>
    <w:rsid w:val="003C0636"/>
    <w:rsid w:val="003C1D9C"/>
    <w:rsid w:val="003C25E6"/>
    <w:rsid w:val="003C3693"/>
    <w:rsid w:val="003C5015"/>
    <w:rsid w:val="003C550C"/>
    <w:rsid w:val="003C6993"/>
    <w:rsid w:val="003C6C7F"/>
    <w:rsid w:val="003C6F88"/>
    <w:rsid w:val="003C7F98"/>
    <w:rsid w:val="003D0D14"/>
    <w:rsid w:val="003D3FEC"/>
    <w:rsid w:val="003D5FEE"/>
    <w:rsid w:val="003D674C"/>
    <w:rsid w:val="003D6FA8"/>
    <w:rsid w:val="003D7A6C"/>
    <w:rsid w:val="003D7B59"/>
    <w:rsid w:val="003E0FFC"/>
    <w:rsid w:val="003E4C05"/>
    <w:rsid w:val="003E65B1"/>
    <w:rsid w:val="003E6E84"/>
    <w:rsid w:val="003E7F63"/>
    <w:rsid w:val="003F0369"/>
    <w:rsid w:val="003F0CF4"/>
    <w:rsid w:val="003F2394"/>
    <w:rsid w:val="003F25A1"/>
    <w:rsid w:val="003F4D1C"/>
    <w:rsid w:val="003F5E98"/>
    <w:rsid w:val="003F638E"/>
    <w:rsid w:val="003F680F"/>
    <w:rsid w:val="003F7206"/>
    <w:rsid w:val="003F7535"/>
    <w:rsid w:val="00400C54"/>
    <w:rsid w:val="00400CB6"/>
    <w:rsid w:val="00401F53"/>
    <w:rsid w:val="00403068"/>
    <w:rsid w:val="004044C9"/>
    <w:rsid w:val="0040494B"/>
    <w:rsid w:val="00412AED"/>
    <w:rsid w:val="00414C6C"/>
    <w:rsid w:val="00416702"/>
    <w:rsid w:val="00416ED1"/>
    <w:rsid w:val="00420030"/>
    <w:rsid w:val="004222DB"/>
    <w:rsid w:val="00423F49"/>
    <w:rsid w:val="00426CB3"/>
    <w:rsid w:val="00430BBF"/>
    <w:rsid w:val="00433149"/>
    <w:rsid w:val="004334A4"/>
    <w:rsid w:val="0043402F"/>
    <w:rsid w:val="004368E5"/>
    <w:rsid w:val="004376D5"/>
    <w:rsid w:val="0044012D"/>
    <w:rsid w:val="00440265"/>
    <w:rsid w:val="00441BB1"/>
    <w:rsid w:val="00445C59"/>
    <w:rsid w:val="0044725F"/>
    <w:rsid w:val="00447EAC"/>
    <w:rsid w:val="00451A8D"/>
    <w:rsid w:val="00452AA0"/>
    <w:rsid w:val="00453148"/>
    <w:rsid w:val="00454E19"/>
    <w:rsid w:val="00455CE4"/>
    <w:rsid w:val="00460DDB"/>
    <w:rsid w:val="0046362C"/>
    <w:rsid w:val="004651AC"/>
    <w:rsid w:val="004655FD"/>
    <w:rsid w:val="00465AC1"/>
    <w:rsid w:val="00465D6A"/>
    <w:rsid w:val="00465ED4"/>
    <w:rsid w:val="00473063"/>
    <w:rsid w:val="004741CD"/>
    <w:rsid w:val="004760F9"/>
    <w:rsid w:val="004764ED"/>
    <w:rsid w:val="00476B4B"/>
    <w:rsid w:val="004773FD"/>
    <w:rsid w:val="0048047B"/>
    <w:rsid w:val="004829B0"/>
    <w:rsid w:val="00483AF3"/>
    <w:rsid w:val="00483B8A"/>
    <w:rsid w:val="00484EF3"/>
    <w:rsid w:val="004858C9"/>
    <w:rsid w:val="00486138"/>
    <w:rsid w:val="004864ED"/>
    <w:rsid w:val="00490522"/>
    <w:rsid w:val="00491268"/>
    <w:rsid w:val="0049281C"/>
    <w:rsid w:val="00494D1A"/>
    <w:rsid w:val="00496C8C"/>
    <w:rsid w:val="00497420"/>
    <w:rsid w:val="0049763B"/>
    <w:rsid w:val="004A038A"/>
    <w:rsid w:val="004A047F"/>
    <w:rsid w:val="004A5767"/>
    <w:rsid w:val="004A7E28"/>
    <w:rsid w:val="004A7FF0"/>
    <w:rsid w:val="004B3C4D"/>
    <w:rsid w:val="004B4354"/>
    <w:rsid w:val="004B564F"/>
    <w:rsid w:val="004B5BEA"/>
    <w:rsid w:val="004B5EA3"/>
    <w:rsid w:val="004B70D6"/>
    <w:rsid w:val="004C163F"/>
    <w:rsid w:val="004C1E2A"/>
    <w:rsid w:val="004C3682"/>
    <w:rsid w:val="004C46E7"/>
    <w:rsid w:val="004D4007"/>
    <w:rsid w:val="004D4098"/>
    <w:rsid w:val="004D497E"/>
    <w:rsid w:val="004D4B6E"/>
    <w:rsid w:val="004D4FE8"/>
    <w:rsid w:val="004D7620"/>
    <w:rsid w:val="004D7B96"/>
    <w:rsid w:val="004E029D"/>
    <w:rsid w:val="004E0A10"/>
    <w:rsid w:val="004E10F8"/>
    <w:rsid w:val="004E24C0"/>
    <w:rsid w:val="004E3EA3"/>
    <w:rsid w:val="004E6D7C"/>
    <w:rsid w:val="004E7C45"/>
    <w:rsid w:val="004E7DEF"/>
    <w:rsid w:val="004F059B"/>
    <w:rsid w:val="004F131E"/>
    <w:rsid w:val="004F212E"/>
    <w:rsid w:val="004F3110"/>
    <w:rsid w:val="004F3AB3"/>
    <w:rsid w:val="004F4B4F"/>
    <w:rsid w:val="004F4F40"/>
    <w:rsid w:val="004F64D6"/>
    <w:rsid w:val="004F74EC"/>
    <w:rsid w:val="004F771D"/>
    <w:rsid w:val="004F7A3C"/>
    <w:rsid w:val="004F7A9C"/>
    <w:rsid w:val="005005E6"/>
    <w:rsid w:val="00501DE0"/>
    <w:rsid w:val="00502078"/>
    <w:rsid w:val="00502500"/>
    <w:rsid w:val="00503981"/>
    <w:rsid w:val="0050540E"/>
    <w:rsid w:val="00506FA3"/>
    <w:rsid w:val="0051372F"/>
    <w:rsid w:val="005137F3"/>
    <w:rsid w:val="00514D86"/>
    <w:rsid w:val="005151DB"/>
    <w:rsid w:val="00516038"/>
    <w:rsid w:val="005175E6"/>
    <w:rsid w:val="00520E25"/>
    <w:rsid w:val="00522090"/>
    <w:rsid w:val="00522F34"/>
    <w:rsid w:val="00525DFD"/>
    <w:rsid w:val="005265C9"/>
    <w:rsid w:val="005271C4"/>
    <w:rsid w:val="00531267"/>
    <w:rsid w:val="005337E5"/>
    <w:rsid w:val="00535CE7"/>
    <w:rsid w:val="005375D5"/>
    <w:rsid w:val="00537D7C"/>
    <w:rsid w:val="005407D4"/>
    <w:rsid w:val="00541738"/>
    <w:rsid w:val="0054257C"/>
    <w:rsid w:val="00542879"/>
    <w:rsid w:val="0054301E"/>
    <w:rsid w:val="00543458"/>
    <w:rsid w:val="00544261"/>
    <w:rsid w:val="005469B9"/>
    <w:rsid w:val="00547D2B"/>
    <w:rsid w:val="00552345"/>
    <w:rsid w:val="00554026"/>
    <w:rsid w:val="0055498C"/>
    <w:rsid w:val="00556985"/>
    <w:rsid w:val="00556B05"/>
    <w:rsid w:val="0055749C"/>
    <w:rsid w:val="005605BE"/>
    <w:rsid w:val="00562596"/>
    <w:rsid w:val="005635D3"/>
    <w:rsid w:val="00564072"/>
    <w:rsid w:val="0056537F"/>
    <w:rsid w:val="0056745B"/>
    <w:rsid w:val="0057010C"/>
    <w:rsid w:val="00570E97"/>
    <w:rsid w:val="005729DB"/>
    <w:rsid w:val="00573C86"/>
    <w:rsid w:val="00573D37"/>
    <w:rsid w:val="005749A9"/>
    <w:rsid w:val="00574AA7"/>
    <w:rsid w:val="00574BD9"/>
    <w:rsid w:val="005750B1"/>
    <w:rsid w:val="00575F40"/>
    <w:rsid w:val="00576432"/>
    <w:rsid w:val="0057744A"/>
    <w:rsid w:val="00577FFC"/>
    <w:rsid w:val="00580558"/>
    <w:rsid w:val="005813FB"/>
    <w:rsid w:val="005835AB"/>
    <w:rsid w:val="00584684"/>
    <w:rsid w:val="0058586C"/>
    <w:rsid w:val="00585CAE"/>
    <w:rsid w:val="005874D3"/>
    <w:rsid w:val="00587682"/>
    <w:rsid w:val="005901D7"/>
    <w:rsid w:val="00592155"/>
    <w:rsid w:val="00592D7D"/>
    <w:rsid w:val="005930D9"/>
    <w:rsid w:val="005932C3"/>
    <w:rsid w:val="00594643"/>
    <w:rsid w:val="00594A7C"/>
    <w:rsid w:val="00594D3A"/>
    <w:rsid w:val="005954C0"/>
    <w:rsid w:val="005955FF"/>
    <w:rsid w:val="00596425"/>
    <w:rsid w:val="00597269"/>
    <w:rsid w:val="005A005C"/>
    <w:rsid w:val="005A0098"/>
    <w:rsid w:val="005A1C44"/>
    <w:rsid w:val="005A326C"/>
    <w:rsid w:val="005A3682"/>
    <w:rsid w:val="005A390A"/>
    <w:rsid w:val="005A5466"/>
    <w:rsid w:val="005A59B2"/>
    <w:rsid w:val="005A6AB2"/>
    <w:rsid w:val="005A708F"/>
    <w:rsid w:val="005A7E74"/>
    <w:rsid w:val="005B0AB5"/>
    <w:rsid w:val="005B162C"/>
    <w:rsid w:val="005B4097"/>
    <w:rsid w:val="005B431A"/>
    <w:rsid w:val="005B5118"/>
    <w:rsid w:val="005B55ED"/>
    <w:rsid w:val="005B6598"/>
    <w:rsid w:val="005B73E6"/>
    <w:rsid w:val="005B741B"/>
    <w:rsid w:val="005B7D93"/>
    <w:rsid w:val="005C5661"/>
    <w:rsid w:val="005C56FB"/>
    <w:rsid w:val="005C5A47"/>
    <w:rsid w:val="005C700D"/>
    <w:rsid w:val="005D114D"/>
    <w:rsid w:val="005D1226"/>
    <w:rsid w:val="005D192F"/>
    <w:rsid w:val="005D45A0"/>
    <w:rsid w:val="005D492E"/>
    <w:rsid w:val="005D5539"/>
    <w:rsid w:val="005D5BF1"/>
    <w:rsid w:val="005D6F01"/>
    <w:rsid w:val="005D7FE3"/>
    <w:rsid w:val="005E092A"/>
    <w:rsid w:val="005E3DA9"/>
    <w:rsid w:val="005E5F6E"/>
    <w:rsid w:val="005E6D83"/>
    <w:rsid w:val="005E6FC5"/>
    <w:rsid w:val="005E7DA3"/>
    <w:rsid w:val="005F06B2"/>
    <w:rsid w:val="005F2BB5"/>
    <w:rsid w:val="005F3525"/>
    <w:rsid w:val="005F3EF6"/>
    <w:rsid w:val="005F4D53"/>
    <w:rsid w:val="005F7ABA"/>
    <w:rsid w:val="006000AD"/>
    <w:rsid w:val="00600799"/>
    <w:rsid w:val="006009B8"/>
    <w:rsid w:val="00600F92"/>
    <w:rsid w:val="00601A4C"/>
    <w:rsid w:val="0060203B"/>
    <w:rsid w:val="006027A7"/>
    <w:rsid w:val="006046D7"/>
    <w:rsid w:val="00604990"/>
    <w:rsid w:val="00604F59"/>
    <w:rsid w:val="00605672"/>
    <w:rsid w:val="006074A0"/>
    <w:rsid w:val="00610355"/>
    <w:rsid w:val="006115E9"/>
    <w:rsid w:val="006123FB"/>
    <w:rsid w:val="00612693"/>
    <w:rsid w:val="006141E0"/>
    <w:rsid w:val="00616731"/>
    <w:rsid w:val="0062101D"/>
    <w:rsid w:val="00621150"/>
    <w:rsid w:val="00622813"/>
    <w:rsid w:val="00622E12"/>
    <w:rsid w:val="0062479A"/>
    <w:rsid w:val="0062516E"/>
    <w:rsid w:val="00626981"/>
    <w:rsid w:val="00626F22"/>
    <w:rsid w:val="00627387"/>
    <w:rsid w:val="00627924"/>
    <w:rsid w:val="00627E76"/>
    <w:rsid w:val="00630A27"/>
    <w:rsid w:val="006312B4"/>
    <w:rsid w:val="006315C5"/>
    <w:rsid w:val="00632980"/>
    <w:rsid w:val="00632C4E"/>
    <w:rsid w:val="00633A89"/>
    <w:rsid w:val="0063736D"/>
    <w:rsid w:val="00637429"/>
    <w:rsid w:val="00637F6C"/>
    <w:rsid w:val="00641FA1"/>
    <w:rsid w:val="0064448D"/>
    <w:rsid w:val="00646E90"/>
    <w:rsid w:val="006470B4"/>
    <w:rsid w:val="00654F4E"/>
    <w:rsid w:val="00655645"/>
    <w:rsid w:val="00656502"/>
    <w:rsid w:val="00656C8E"/>
    <w:rsid w:val="00657627"/>
    <w:rsid w:val="00661C74"/>
    <w:rsid w:val="006656B7"/>
    <w:rsid w:val="00665F04"/>
    <w:rsid w:val="00671742"/>
    <w:rsid w:val="00672062"/>
    <w:rsid w:val="00673EEF"/>
    <w:rsid w:val="00675862"/>
    <w:rsid w:val="00675BD4"/>
    <w:rsid w:val="006764CD"/>
    <w:rsid w:val="006770D9"/>
    <w:rsid w:val="00677563"/>
    <w:rsid w:val="00681878"/>
    <w:rsid w:val="00681BA0"/>
    <w:rsid w:val="00681FD2"/>
    <w:rsid w:val="006828B1"/>
    <w:rsid w:val="006828F8"/>
    <w:rsid w:val="00682ECB"/>
    <w:rsid w:val="0068377A"/>
    <w:rsid w:val="00685BE2"/>
    <w:rsid w:val="006861E9"/>
    <w:rsid w:val="00690290"/>
    <w:rsid w:val="00691009"/>
    <w:rsid w:val="00691312"/>
    <w:rsid w:val="006917CC"/>
    <w:rsid w:val="00692AF8"/>
    <w:rsid w:val="00693C98"/>
    <w:rsid w:val="0069535B"/>
    <w:rsid w:val="00695491"/>
    <w:rsid w:val="00696B0D"/>
    <w:rsid w:val="00697715"/>
    <w:rsid w:val="006A11EB"/>
    <w:rsid w:val="006A1BDD"/>
    <w:rsid w:val="006A281E"/>
    <w:rsid w:val="006A2E0A"/>
    <w:rsid w:val="006A49C7"/>
    <w:rsid w:val="006A5D5B"/>
    <w:rsid w:val="006A5FCF"/>
    <w:rsid w:val="006A6C31"/>
    <w:rsid w:val="006A6FA0"/>
    <w:rsid w:val="006A7793"/>
    <w:rsid w:val="006A796C"/>
    <w:rsid w:val="006A7D21"/>
    <w:rsid w:val="006B111D"/>
    <w:rsid w:val="006B1410"/>
    <w:rsid w:val="006B576C"/>
    <w:rsid w:val="006B68DB"/>
    <w:rsid w:val="006B7967"/>
    <w:rsid w:val="006B7D41"/>
    <w:rsid w:val="006C18A3"/>
    <w:rsid w:val="006C20F6"/>
    <w:rsid w:val="006C25B9"/>
    <w:rsid w:val="006C267F"/>
    <w:rsid w:val="006C26C4"/>
    <w:rsid w:val="006C3C7D"/>
    <w:rsid w:val="006C3F27"/>
    <w:rsid w:val="006C421B"/>
    <w:rsid w:val="006C70F9"/>
    <w:rsid w:val="006C72B4"/>
    <w:rsid w:val="006C75A6"/>
    <w:rsid w:val="006D021A"/>
    <w:rsid w:val="006D3A74"/>
    <w:rsid w:val="006D46C8"/>
    <w:rsid w:val="006D5A86"/>
    <w:rsid w:val="006D5FBF"/>
    <w:rsid w:val="006D608C"/>
    <w:rsid w:val="006D6633"/>
    <w:rsid w:val="006D6690"/>
    <w:rsid w:val="006D68E0"/>
    <w:rsid w:val="006D7E5D"/>
    <w:rsid w:val="006E05F5"/>
    <w:rsid w:val="006E0A5F"/>
    <w:rsid w:val="006E18CE"/>
    <w:rsid w:val="006E3014"/>
    <w:rsid w:val="006E30B0"/>
    <w:rsid w:val="006E3C18"/>
    <w:rsid w:val="006E4764"/>
    <w:rsid w:val="006E4E42"/>
    <w:rsid w:val="006F0423"/>
    <w:rsid w:val="006F121A"/>
    <w:rsid w:val="006F2DE9"/>
    <w:rsid w:val="006F309D"/>
    <w:rsid w:val="006F508A"/>
    <w:rsid w:val="006F5B42"/>
    <w:rsid w:val="006F6D32"/>
    <w:rsid w:val="00701339"/>
    <w:rsid w:val="00701404"/>
    <w:rsid w:val="00702248"/>
    <w:rsid w:val="007079B0"/>
    <w:rsid w:val="00710ABB"/>
    <w:rsid w:val="0071307F"/>
    <w:rsid w:val="00717ADB"/>
    <w:rsid w:val="00717B57"/>
    <w:rsid w:val="00723400"/>
    <w:rsid w:val="00725D23"/>
    <w:rsid w:val="0072607A"/>
    <w:rsid w:val="00727EE5"/>
    <w:rsid w:val="0073082F"/>
    <w:rsid w:val="0073450B"/>
    <w:rsid w:val="00735275"/>
    <w:rsid w:val="0074052A"/>
    <w:rsid w:val="007421E7"/>
    <w:rsid w:val="007441E2"/>
    <w:rsid w:val="007457E1"/>
    <w:rsid w:val="00745B8C"/>
    <w:rsid w:val="00745E0F"/>
    <w:rsid w:val="00746D86"/>
    <w:rsid w:val="007513C7"/>
    <w:rsid w:val="00752348"/>
    <w:rsid w:val="00753119"/>
    <w:rsid w:val="0075379C"/>
    <w:rsid w:val="00753E00"/>
    <w:rsid w:val="007544B9"/>
    <w:rsid w:val="007547E4"/>
    <w:rsid w:val="0075564A"/>
    <w:rsid w:val="00755B2C"/>
    <w:rsid w:val="007564E8"/>
    <w:rsid w:val="007604BA"/>
    <w:rsid w:val="00760AA4"/>
    <w:rsid w:val="007620E4"/>
    <w:rsid w:val="00762451"/>
    <w:rsid w:val="00764D83"/>
    <w:rsid w:val="007650DF"/>
    <w:rsid w:val="00765675"/>
    <w:rsid w:val="0076606E"/>
    <w:rsid w:val="00766C96"/>
    <w:rsid w:val="00766FBB"/>
    <w:rsid w:val="00767D6E"/>
    <w:rsid w:val="00770116"/>
    <w:rsid w:val="00773879"/>
    <w:rsid w:val="00773E6E"/>
    <w:rsid w:val="00774684"/>
    <w:rsid w:val="007755F6"/>
    <w:rsid w:val="0077706D"/>
    <w:rsid w:val="00782655"/>
    <w:rsid w:val="00783C1F"/>
    <w:rsid w:val="007851E6"/>
    <w:rsid w:val="007857A5"/>
    <w:rsid w:val="00787628"/>
    <w:rsid w:val="00787F25"/>
    <w:rsid w:val="00793C81"/>
    <w:rsid w:val="00793F5F"/>
    <w:rsid w:val="00795329"/>
    <w:rsid w:val="0079777C"/>
    <w:rsid w:val="007A3267"/>
    <w:rsid w:val="007A4B5A"/>
    <w:rsid w:val="007A50FF"/>
    <w:rsid w:val="007A56B3"/>
    <w:rsid w:val="007A63A5"/>
    <w:rsid w:val="007A7FA8"/>
    <w:rsid w:val="007B2F1E"/>
    <w:rsid w:val="007B3016"/>
    <w:rsid w:val="007B3633"/>
    <w:rsid w:val="007B383F"/>
    <w:rsid w:val="007B5CC9"/>
    <w:rsid w:val="007C2482"/>
    <w:rsid w:val="007C3276"/>
    <w:rsid w:val="007C62E7"/>
    <w:rsid w:val="007C6FCD"/>
    <w:rsid w:val="007C7402"/>
    <w:rsid w:val="007C7511"/>
    <w:rsid w:val="007D0619"/>
    <w:rsid w:val="007D2EAD"/>
    <w:rsid w:val="007D468E"/>
    <w:rsid w:val="007D5749"/>
    <w:rsid w:val="007D5C5C"/>
    <w:rsid w:val="007D6C7B"/>
    <w:rsid w:val="007E23B2"/>
    <w:rsid w:val="007E30E8"/>
    <w:rsid w:val="007E352D"/>
    <w:rsid w:val="007E4091"/>
    <w:rsid w:val="007E4280"/>
    <w:rsid w:val="007E5555"/>
    <w:rsid w:val="007E61F4"/>
    <w:rsid w:val="007E7148"/>
    <w:rsid w:val="007E7CAC"/>
    <w:rsid w:val="007F0525"/>
    <w:rsid w:val="007F187E"/>
    <w:rsid w:val="007F2B9B"/>
    <w:rsid w:val="007F363C"/>
    <w:rsid w:val="007F565D"/>
    <w:rsid w:val="007F63A9"/>
    <w:rsid w:val="007F66AB"/>
    <w:rsid w:val="007F6A8C"/>
    <w:rsid w:val="007F6C8D"/>
    <w:rsid w:val="008008B6"/>
    <w:rsid w:val="0080157C"/>
    <w:rsid w:val="008050C7"/>
    <w:rsid w:val="00805B71"/>
    <w:rsid w:val="00805C13"/>
    <w:rsid w:val="00807923"/>
    <w:rsid w:val="0081118A"/>
    <w:rsid w:val="00812128"/>
    <w:rsid w:val="0081271D"/>
    <w:rsid w:val="008137A4"/>
    <w:rsid w:val="008154F0"/>
    <w:rsid w:val="008157EE"/>
    <w:rsid w:val="00816D47"/>
    <w:rsid w:val="00816F8E"/>
    <w:rsid w:val="00821306"/>
    <w:rsid w:val="00821967"/>
    <w:rsid w:val="00821B68"/>
    <w:rsid w:val="0082255B"/>
    <w:rsid w:val="00822922"/>
    <w:rsid w:val="00823E81"/>
    <w:rsid w:val="00824CD1"/>
    <w:rsid w:val="00824D04"/>
    <w:rsid w:val="00825A23"/>
    <w:rsid w:val="00827B5D"/>
    <w:rsid w:val="00830083"/>
    <w:rsid w:val="00831252"/>
    <w:rsid w:val="00831DB2"/>
    <w:rsid w:val="008327AF"/>
    <w:rsid w:val="00834885"/>
    <w:rsid w:val="00834C9B"/>
    <w:rsid w:val="008361E7"/>
    <w:rsid w:val="008377FE"/>
    <w:rsid w:val="00837FC7"/>
    <w:rsid w:val="00840292"/>
    <w:rsid w:val="00840FD9"/>
    <w:rsid w:val="00841CF1"/>
    <w:rsid w:val="008422DB"/>
    <w:rsid w:val="008423E0"/>
    <w:rsid w:val="008427E3"/>
    <w:rsid w:val="00842DFF"/>
    <w:rsid w:val="00843788"/>
    <w:rsid w:val="00844398"/>
    <w:rsid w:val="00845385"/>
    <w:rsid w:val="00845B9C"/>
    <w:rsid w:val="008464C4"/>
    <w:rsid w:val="00846FEE"/>
    <w:rsid w:val="00847584"/>
    <w:rsid w:val="008511CB"/>
    <w:rsid w:val="00851655"/>
    <w:rsid w:val="008525BE"/>
    <w:rsid w:val="00853495"/>
    <w:rsid w:val="00853B1B"/>
    <w:rsid w:val="008540B1"/>
    <w:rsid w:val="00855CD3"/>
    <w:rsid w:val="00857031"/>
    <w:rsid w:val="008577B9"/>
    <w:rsid w:val="00861B12"/>
    <w:rsid w:val="0086248A"/>
    <w:rsid w:val="00864281"/>
    <w:rsid w:val="008659DD"/>
    <w:rsid w:val="008666F9"/>
    <w:rsid w:val="00867299"/>
    <w:rsid w:val="00867F9D"/>
    <w:rsid w:val="00867FA3"/>
    <w:rsid w:val="00870D51"/>
    <w:rsid w:val="00870DDD"/>
    <w:rsid w:val="00870F3F"/>
    <w:rsid w:val="00871E90"/>
    <w:rsid w:val="00874F90"/>
    <w:rsid w:val="00875FDE"/>
    <w:rsid w:val="008763B4"/>
    <w:rsid w:val="008767DF"/>
    <w:rsid w:val="00877D24"/>
    <w:rsid w:val="0088389A"/>
    <w:rsid w:val="00884647"/>
    <w:rsid w:val="00884730"/>
    <w:rsid w:val="00884985"/>
    <w:rsid w:val="008858A6"/>
    <w:rsid w:val="0088626B"/>
    <w:rsid w:val="008868DD"/>
    <w:rsid w:val="00887C5F"/>
    <w:rsid w:val="00890403"/>
    <w:rsid w:val="00892358"/>
    <w:rsid w:val="008933BE"/>
    <w:rsid w:val="008943B5"/>
    <w:rsid w:val="0089444A"/>
    <w:rsid w:val="008956BF"/>
    <w:rsid w:val="0089718E"/>
    <w:rsid w:val="008971F9"/>
    <w:rsid w:val="008A398F"/>
    <w:rsid w:val="008A3FC9"/>
    <w:rsid w:val="008A41B5"/>
    <w:rsid w:val="008A4359"/>
    <w:rsid w:val="008A70DA"/>
    <w:rsid w:val="008B0890"/>
    <w:rsid w:val="008B56D9"/>
    <w:rsid w:val="008B5BDB"/>
    <w:rsid w:val="008B6632"/>
    <w:rsid w:val="008B69C7"/>
    <w:rsid w:val="008C23AA"/>
    <w:rsid w:val="008C31AF"/>
    <w:rsid w:val="008C4B91"/>
    <w:rsid w:val="008C5318"/>
    <w:rsid w:val="008C6B85"/>
    <w:rsid w:val="008C730A"/>
    <w:rsid w:val="008C772F"/>
    <w:rsid w:val="008D0642"/>
    <w:rsid w:val="008D0A00"/>
    <w:rsid w:val="008D28FC"/>
    <w:rsid w:val="008D33CB"/>
    <w:rsid w:val="008D3B4C"/>
    <w:rsid w:val="008D4D47"/>
    <w:rsid w:val="008D531D"/>
    <w:rsid w:val="008D5F2D"/>
    <w:rsid w:val="008D603A"/>
    <w:rsid w:val="008E3ADE"/>
    <w:rsid w:val="008E3EC9"/>
    <w:rsid w:val="008E3F62"/>
    <w:rsid w:val="008E416D"/>
    <w:rsid w:val="008E47B5"/>
    <w:rsid w:val="008E4C9E"/>
    <w:rsid w:val="008E5472"/>
    <w:rsid w:val="008E70FF"/>
    <w:rsid w:val="008F280B"/>
    <w:rsid w:val="008F33C9"/>
    <w:rsid w:val="008F71D7"/>
    <w:rsid w:val="008F7278"/>
    <w:rsid w:val="008F7767"/>
    <w:rsid w:val="008F7856"/>
    <w:rsid w:val="00900B24"/>
    <w:rsid w:val="00900E77"/>
    <w:rsid w:val="00902BDE"/>
    <w:rsid w:val="009035E4"/>
    <w:rsid w:val="00903735"/>
    <w:rsid w:val="00903E52"/>
    <w:rsid w:val="00907059"/>
    <w:rsid w:val="00915323"/>
    <w:rsid w:val="00915510"/>
    <w:rsid w:val="00915B2E"/>
    <w:rsid w:val="0091765F"/>
    <w:rsid w:val="009206CF"/>
    <w:rsid w:val="009214D6"/>
    <w:rsid w:val="0092158C"/>
    <w:rsid w:val="0092189F"/>
    <w:rsid w:val="00922C15"/>
    <w:rsid w:val="009251EC"/>
    <w:rsid w:val="00926226"/>
    <w:rsid w:val="00930025"/>
    <w:rsid w:val="00930F6B"/>
    <w:rsid w:val="00931A8A"/>
    <w:rsid w:val="00932BBE"/>
    <w:rsid w:val="00934131"/>
    <w:rsid w:val="009343BF"/>
    <w:rsid w:val="009348B7"/>
    <w:rsid w:val="00935948"/>
    <w:rsid w:val="0093597D"/>
    <w:rsid w:val="009362CD"/>
    <w:rsid w:val="00937766"/>
    <w:rsid w:val="00937E40"/>
    <w:rsid w:val="0094051F"/>
    <w:rsid w:val="00944BAB"/>
    <w:rsid w:val="00950A90"/>
    <w:rsid w:val="00951964"/>
    <w:rsid w:val="0095275A"/>
    <w:rsid w:val="00952998"/>
    <w:rsid w:val="00952C7D"/>
    <w:rsid w:val="0095377A"/>
    <w:rsid w:val="00953A87"/>
    <w:rsid w:val="00953DF1"/>
    <w:rsid w:val="009540E1"/>
    <w:rsid w:val="00954A4C"/>
    <w:rsid w:val="009568FD"/>
    <w:rsid w:val="00956F67"/>
    <w:rsid w:val="0095755C"/>
    <w:rsid w:val="00960ABB"/>
    <w:rsid w:val="00960E6E"/>
    <w:rsid w:val="00961BA3"/>
    <w:rsid w:val="00962D56"/>
    <w:rsid w:val="00963EA1"/>
    <w:rsid w:val="00964B9C"/>
    <w:rsid w:val="00970B06"/>
    <w:rsid w:val="00974380"/>
    <w:rsid w:val="00974DAC"/>
    <w:rsid w:val="00976779"/>
    <w:rsid w:val="0097749C"/>
    <w:rsid w:val="009778DD"/>
    <w:rsid w:val="00984BC3"/>
    <w:rsid w:val="00984C73"/>
    <w:rsid w:val="009852A6"/>
    <w:rsid w:val="009900D6"/>
    <w:rsid w:val="00990167"/>
    <w:rsid w:val="00990444"/>
    <w:rsid w:val="00991381"/>
    <w:rsid w:val="009915CB"/>
    <w:rsid w:val="009940CA"/>
    <w:rsid w:val="009951FB"/>
    <w:rsid w:val="00996C56"/>
    <w:rsid w:val="009979F2"/>
    <w:rsid w:val="009A1397"/>
    <w:rsid w:val="009A17A1"/>
    <w:rsid w:val="009A269E"/>
    <w:rsid w:val="009A3125"/>
    <w:rsid w:val="009B1128"/>
    <w:rsid w:val="009B2502"/>
    <w:rsid w:val="009B29A9"/>
    <w:rsid w:val="009B2AD3"/>
    <w:rsid w:val="009B2FCD"/>
    <w:rsid w:val="009B3A0F"/>
    <w:rsid w:val="009B445B"/>
    <w:rsid w:val="009B4D13"/>
    <w:rsid w:val="009B4D1F"/>
    <w:rsid w:val="009B62EE"/>
    <w:rsid w:val="009B725C"/>
    <w:rsid w:val="009B7773"/>
    <w:rsid w:val="009C2900"/>
    <w:rsid w:val="009C33B9"/>
    <w:rsid w:val="009C3BB5"/>
    <w:rsid w:val="009C4AC0"/>
    <w:rsid w:val="009C59A9"/>
    <w:rsid w:val="009C6E3F"/>
    <w:rsid w:val="009D0208"/>
    <w:rsid w:val="009D023C"/>
    <w:rsid w:val="009D3547"/>
    <w:rsid w:val="009D3802"/>
    <w:rsid w:val="009D3BA5"/>
    <w:rsid w:val="009D3D75"/>
    <w:rsid w:val="009D3E2B"/>
    <w:rsid w:val="009D4080"/>
    <w:rsid w:val="009D7FE0"/>
    <w:rsid w:val="009E0751"/>
    <w:rsid w:val="009E0EC8"/>
    <w:rsid w:val="009E203D"/>
    <w:rsid w:val="009E3ADF"/>
    <w:rsid w:val="009E425D"/>
    <w:rsid w:val="009E7105"/>
    <w:rsid w:val="009E7DE0"/>
    <w:rsid w:val="009F0176"/>
    <w:rsid w:val="009F161A"/>
    <w:rsid w:val="009F327A"/>
    <w:rsid w:val="009F74A8"/>
    <w:rsid w:val="00A00C9D"/>
    <w:rsid w:val="00A01720"/>
    <w:rsid w:val="00A01D67"/>
    <w:rsid w:val="00A028BB"/>
    <w:rsid w:val="00A03DFB"/>
    <w:rsid w:val="00A05A9A"/>
    <w:rsid w:val="00A05FA5"/>
    <w:rsid w:val="00A07A2A"/>
    <w:rsid w:val="00A10873"/>
    <w:rsid w:val="00A136CC"/>
    <w:rsid w:val="00A13E60"/>
    <w:rsid w:val="00A14CC8"/>
    <w:rsid w:val="00A16CAF"/>
    <w:rsid w:val="00A179DD"/>
    <w:rsid w:val="00A17AEF"/>
    <w:rsid w:val="00A21333"/>
    <w:rsid w:val="00A23F2B"/>
    <w:rsid w:val="00A263AA"/>
    <w:rsid w:val="00A27AA8"/>
    <w:rsid w:val="00A3296C"/>
    <w:rsid w:val="00A33B0C"/>
    <w:rsid w:val="00A34228"/>
    <w:rsid w:val="00A34607"/>
    <w:rsid w:val="00A354E5"/>
    <w:rsid w:val="00A35532"/>
    <w:rsid w:val="00A3754A"/>
    <w:rsid w:val="00A37C89"/>
    <w:rsid w:val="00A37FE1"/>
    <w:rsid w:val="00A41795"/>
    <w:rsid w:val="00A41BC9"/>
    <w:rsid w:val="00A4218C"/>
    <w:rsid w:val="00A426B3"/>
    <w:rsid w:val="00A518D1"/>
    <w:rsid w:val="00A52405"/>
    <w:rsid w:val="00A54A3E"/>
    <w:rsid w:val="00A54BE6"/>
    <w:rsid w:val="00A54BF3"/>
    <w:rsid w:val="00A55A67"/>
    <w:rsid w:val="00A56E6D"/>
    <w:rsid w:val="00A57160"/>
    <w:rsid w:val="00A5736B"/>
    <w:rsid w:val="00A60017"/>
    <w:rsid w:val="00A60931"/>
    <w:rsid w:val="00A62183"/>
    <w:rsid w:val="00A631D6"/>
    <w:rsid w:val="00A64422"/>
    <w:rsid w:val="00A65286"/>
    <w:rsid w:val="00A65CCD"/>
    <w:rsid w:val="00A7131E"/>
    <w:rsid w:val="00A7216C"/>
    <w:rsid w:val="00A74D58"/>
    <w:rsid w:val="00A75507"/>
    <w:rsid w:val="00A7670F"/>
    <w:rsid w:val="00A76DDF"/>
    <w:rsid w:val="00A77239"/>
    <w:rsid w:val="00A82091"/>
    <w:rsid w:val="00A8236F"/>
    <w:rsid w:val="00A827EF"/>
    <w:rsid w:val="00A845A2"/>
    <w:rsid w:val="00A84794"/>
    <w:rsid w:val="00A847DC"/>
    <w:rsid w:val="00A862CA"/>
    <w:rsid w:val="00A86E04"/>
    <w:rsid w:val="00A87612"/>
    <w:rsid w:val="00A879F8"/>
    <w:rsid w:val="00A90A95"/>
    <w:rsid w:val="00A914A0"/>
    <w:rsid w:val="00A91628"/>
    <w:rsid w:val="00A9189E"/>
    <w:rsid w:val="00A92274"/>
    <w:rsid w:val="00A95E2E"/>
    <w:rsid w:val="00A97175"/>
    <w:rsid w:val="00AA0316"/>
    <w:rsid w:val="00AA08C8"/>
    <w:rsid w:val="00AA22C8"/>
    <w:rsid w:val="00AA2EDA"/>
    <w:rsid w:val="00AA367A"/>
    <w:rsid w:val="00AA3A84"/>
    <w:rsid w:val="00AA6659"/>
    <w:rsid w:val="00AA6A90"/>
    <w:rsid w:val="00AA73E4"/>
    <w:rsid w:val="00AB06D5"/>
    <w:rsid w:val="00AB0D7A"/>
    <w:rsid w:val="00AB1013"/>
    <w:rsid w:val="00AB3E39"/>
    <w:rsid w:val="00AB58AD"/>
    <w:rsid w:val="00AB6263"/>
    <w:rsid w:val="00AB6542"/>
    <w:rsid w:val="00AB6CD4"/>
    <w:rsid w:val="00AB7895"/>
    <w:rsid w:val="00AB7AF7"/>
    <w:rsid w:val="00AB7BDE"/>
    <w:rsid w:val="00AC2C8D"/>
    <w:rsid w:val="00AC2D85"/>
    <w:rsid w:val="00AC424A"/>
    <w:rsid w:val="00AC589B"/>
    <w:rsid w:val="00AC6CEE"/>
    <w:rsid w:val="00AC78DA"/>
    <w:rsid w:val="00AD06BE"/>
    <w:rsid w:val="00AD1054"/>
    <w:rsid w:val="00AD1BD8"/>
    <w:rsid w:val="00AD2499"/>
    <w:rsid w:val="00AD295D"/>
    <w:rsid w:val="00AD2FBC"/>
    <w:rsid w:val="00AD3F94"/>
    <w:rsid w:val="00AD3FC4"/>
    <w:rsid w:val="00AD4237"/>
    <w:rsid w:val="00AD4A98"/>
    <w:rsid w:val="00AD598D"/>
    <w:rsid w:val="00AD673D"/>
    <w:rsid w:val="00AD6CC4"/>
    <w:rsid w:val="00AD77CF"/>
    <w:rsid w:val="00AE15A6"/>
    <w:rsid w:val="00AE1EA5"/>
    <w:rsid w:val="00AE25BB"/>
    <w:rsid w:val="00AE29D3"/>
    <w:rsid w:val="00AE3C93"/>
    <w:rsid w:val="00AE5B05"/>
    <w:rsid w:val="00AE7360"/>
    <w:rsid w:val="00AE73DA"/>
    <w:rsid w:val="00AF2E17"/>
    <w:rsid w:val="00AF5E22"/>
    <w:rsid w:val="00AF7640"/>
    <w:rsid w:val="00B012BF"/>
    <w:rsid w:val="00B02932"/>
    <w:rsid w:val="00B02D8E"/>
    <w:rsid w:val="00B0332D"/>
    <w:rsid w:val="00B05694"/>
    <w:rsid w:val="00B06103"/>
    <w:rsid w:val="00B10257"/>
    <w:rsid w:val="00B10635"/>
    <w:rsid w:val="00B11F23"/>
    <w:rsid w:val="00B13445"/>
    <w:rsid w:val="00B13BF5"/>
    <w:rsid w:val="00B1581E"/>
    <w:rsid w:val="00B17041"/>
    <w:rsid w:val="00B176F7"/>
    <w:rsid w:val="00B17A21"/>
    <w:rsid w:val="00B21435"/>
    <w:rsid w:val="00B22A0F"/>
    <w:rsid w:val="00B235BC"/>
    <w:rsid w:val="00B23CF8"/>
    <w:rsid w:val="00B24BD3"/>
    <w:rsid w:val="00B25615"/>
    <w:rsid w:val="00B27DAF"/>
    <w:rsid w:val="00B32CCC"/>
    <w:rsid w:val="00B33A22"/>
    <w:rsid w:val="00B35BF1"/>
    <w:rsid w:val="00B4238E"/>
    <w:rsid w:val="00B4299C"/>
    <w:rsid w:val="00B44133"/>
    <w:rsid w:val="00B454DF"/>
    <w:rsid w:val="00B46687"/>
    <w:rsid w:val="00B5135F"/>
    <w:rsid w:val="00B51B13"/>
    <w:rsid w:val="00B52085"/>
    <w:rsid w:val="00B54415"/>
    <w:rsid w:val="00B54BB8"/>
    <w:rsid w:val="00B54F30"/>
    <w:rsid w:val="00B5574A"/>
    <w:rsid w:val="00B56E4E"/>
    <w:rsid w:val="00B57E22"/>
    <w:rsid w:val="00B639F5"/>
    <w:rsid w:val="00B63EF0"/>
    <w:rsid w:val="00B64289"/>
    <w:rsid w:val="00B64FF9"/>
    <w:rsid w:val="00B65ACD"/>
    <w:rsid w:val="00B66BE1"/>
    <w:rsid w:val="00B675D1"/>
    <w:rsid w:val="00B67899"/>
    <w:rsid w:val="00B67CBD"/>
    <w:rsid w:val="00B7175D"/>
    <w:rsid w:val="00B71BB8"/>
    <w:rsid w:val="00B727D8"/>
    <w:rsid w:val="00B73B8A"/>
    <w:rsid w:val="00B759B6"/>
    <w:rsid w:val="00B770C7"/>
    <w:rsid w:val="00B77B8F"/>
    <w:rsid w:val="00B8281C"/>
    <w:rsid w:val="00B840E0"/>
    <w:rsid w:val="00B8431D"/>
    <w:rsid w:val="00B853AF"/>
    <w:rsid w:val="00B85A72"/>
    <w:rsid w:val="00B864A7"/>
    <w:rsid w:val="00B86A8A"/>
    <w:rsid w:val="00B86DB7"/>
    <w:rsid w:val="00B90C28"/>
    <w:rsid w:val="00B90F6F"/>
    <w:rsid w:val="00B95847"/>
    <w:rsid w:val="00B970F9"/>
    <w:rsid w:val="00B979F8"/>
    <w:rsid w:val="00BA23ED"/>
    <w:rsid w:val="00BA2EA8"/>
    <w:rsid w:val="00BA37B1"/>
    <w:rsid w:val="00BA3B07"/>
    <w:rsid w:val="00BA4766"/>
    <w:rsid w:val="00BA4A57"/>
    <w:rsid w:val="00BA5863"/>
    <w:rsid w:val="00BA5B8B"/>
    <w:rsid w:val="00BA7B7B"/>
    <w:rsid w:val="00BB0310"/>
    <w:rsid w:val="00BB2042"/>
    <w:rsid w:val="00BB4505"/>
    <w:rsid w:val="00BB5C81"/>
    <w:rsid w:val="00BB6682"/>
    <w:rsid w:val="00BB67C9"/>
    <w:rsid w:val="00BB79D2"/>
    <w:rsid w:val="00BB7F5B"/>
    <w:rsid w:val="00BC15C8"/>
    <w:rsid w:val="00BC1CFB"/>
    <w:rsid w:val="00BC6F75"/>
    <w:rsid w:val="00BC75E1"/>
    <w:rsid w:val="00BD30B3"/>
    <w:rsid w:val="00BD3167"/>
    <w:rsid w:val="00BD6FAB"/>
    <w:rsid w:val="00BD70C9"/>
    <w:rsid w:val="00BE0D23"/>
    <w:rsid w:val="00BE137D"/>
    <w:rsid w:val="00BE2DE2"/>
    <w:rsid w:val="00BE3848"/>
    <w:rsid w:val="00BE6127"/>
    <w:rsid w:val="00BE6669"/>
    <w:rsid w:val="00BE67B6"/>
    <w:rsid w:val="00BF0D43"/>
    <w:rsid w:val="00BF0FD0"/>
    <w:rsid w:val="00BF1F68"/>
    <w:rsid w:val="00BF1FF2"/>
    <w:rsid w:val="00BF398B"/>
    <w:rsid w:val="00BF4369"/>
    <w:rsid w:val="00BF480D"/>
    <w:rsid w:val="00BF4947"/>
    <w:rsid w:val="00BF56FF"/>
    <w:rsid w:val="00BF5847"/>
    <w:rsid w:val="00BF60C7"/>
    <w:rsid w:val="00BF64FD"/>
    <w:rsid w:val="00C00442"/>
    <w:rsid w:val="00C00679"/>
    <w:rsid w:val="00C00B32"/>
    <w:rsid w:val="00C00C3E"/>
    <w:rsid w:val="00C03E30"/>
    <w:rsid w:val="00C04DBC"/>
    <w:rsid w:val="00C0727C"/>
    <w:rsid w:val="00C07443"/>
    <w:rsid w:val="00C10EA4"/>
    <w:rsid w:val="00C11659"/>
    <w:rsid w:val="00C13DBB"/>
    <w:rsid w:val="00C1589E"/>
    <w:rsid w:val="00C2003F"/>
    <w:rsid w:val="00C20F29"/>
    <w:rsid w:val="00C21ED1"/>
    <w:rsid w:val="00C2339B"/>
    <w:rsid w:val="00C23A98"/>
    <w:rsid w:val="00C24776"/>
    <w:rsid w:val="00C25F3D"/>
    <w:rsid w:val="00C30823"/>
    <w:rsid w:val="00C311AD"/>
    <w:rsid w:val="00C32754"/>
    <w:rsid w:val="00C32D21"/>
    <w:rsid w:val="00C36DEF"/>
    <w:rsid w:val="00C36FB6"/>
    <w:rsid w:val="00C4023E"/>
    <w:rsid w:val="00C4194F"/>
    <w:rsid w:val="00C42E46"/>
    <w:rsid w:val="00C43896"/>
    <w:rsid w:val="00C43D1A"/>
    <w:rsid w:val="00C4431F"/>
    <w:rsid w:val="00C45A91"/>
    <w:rsid w:val="00C45FA3"/>
    <w:rsid w:val="00C465C7"/>
    <w:rsid w:val="00C46B9C"/>
    <w:rsid w:val="00C472B3"/>
    <w:rsid w:val="00C475B2"/>
    <w:rsid w:val="00C5024E"/>
    <w:rsid w:val="00C5096D"/>
    <w:rsid w:val="00C50A11"/>
    <w:rsid w:val="00C54664"/>
    <w:rsid w:val="00C54CEE"/>
    <w:rsid w:val="00C56ABF"/>
    <w:rsid w:val="00C6109C"/>
    <w:rsid w:val="00C6301A"/>
    <w:rsid w:val="00C63FDB"/>
    <w:rsid w:val="00C663D1"/>
    <w:rsid w:val="00C67B28"/>
    <w:rsid w:val="00C67B5F"/>
    <w:rsid w:val="00C707B3"/>
    <w:rsid w:val="00C70B03"/>
    <w:rsid w:val="00C722A7"/>
    <w:rsid w:val="00C727E7"/>
    <w:rsid w:val="00C72A8C"/>
    <w:rsid w:val="00C74A5E"/>
    <w:rsid w:val="00C74C50"/>
    <w:rsid w:val="00C74ED1"/>
    <w:rsid w:val="00C756A6"/>
    <w:rsid w:val="00C7689E"/>
    <w:rsid w:val="00C775ED"/>
    <w:rsid w:val="00C77C12"/>
    <w:rsid w:val="00C82451"/>
    <w:rsid w:val="00C84C7E"/>
    <w:rsid w:val="00C86EC1"/>
    <w:rsid w:val="00C90254"/>
    <w:rsid w:val="00C909E9"/>
    <w:rsid w:val="00C928D3"/>
    <w:rsid w:val="00C9388D"/>
    <w:rsid w:val="00C938E4"/>
    <w:rsid w:val="00C94E38"/>
    <w:rsid w:val="00C9568A"/>
    <w:rsid w:val="00C96A25"/>
    <w:rsid w:val="00C96EA8"/>
    <w:rsid w:val="00CA16FA"/>
    <w:rsid w:val="00CA1F6A"/>
    <w:rsid w:val="00CA2C34"/>
    <w:rsid w:val="00CA2C9F"/>
    <w:rsid w:val="00CA324B"/>
    <w:rsid w:val="00CA34DF"/>
    <w:rsid w:val="00CA3728"/>
    <w:rsid w:val="00CA4C71"/>
    <w:rsid w:val="00CA5200"/>
    <w:rsid w:val="00CA5366"/>
    <w:rsid w:val="00CA6D2C"/>
    <w:rsid w:val="00CB1F7B"/>
    <w:rsid w:val="00CB25B8"/>
    <w:rsid w:val="00CB4D0C"/>
    <w:rsid w:val="00CB4D5A"/>
    <w:rsid w:val="00CB4DB1"/>
    <w:rsid w:val="00CB6A13"/>
    <w:rsid w:val="00CC0A55"/>
    <w:rsid w:val="00CC0F1D"/>
    <w:rsid w:val="00CC0FF0"/>
    <w:rsid w:val="00CC21B1"/>
    <w:rsid w:val="00CC4019"/>
    <w:rsid w:val="00CC4F99"/>
    <w:rsid w:val="00CC5655"/>
    <w:rsid w:val="00CC57CD"/>
    <w:rsid w:val="00CC5DDD"/>
    <w:rsid w:val="00CC7571"/>
    <w:rsid w:val="00CD068F"/>
    <w:rsid w:val="00CD3325"/>
    <w:rsid w:val="00CD363B"/>
    <w:rsid w:val="00CD53BC"/>
    <w:rsid w:val="00CD648D"/>
    <w:rsid w:val="00CD7124"/>
    <w:rsid w:val="00CD7D90"/>
    <w:rsid w:val="00CE031D"/>
    <w:rsid w:val="00CE5F4D"/>
    <w:rsid w:val="00CE623F"/>
    <w:rsid w:val="00CF2496"/>
    <w:rsid w:val="00CF29B9"/>
    <w:rsid w:val="00CF4B05"/>
    <w:rsid w:val="00CF5DDE"/>
    <w:rsid w:val="00CF6938"/>
    <w:rsid w:val="00CF69C2"/>
    <w:rsid w:val="00CF79A2"/>
    <w:rsid w:val="00CF7ED5"/>
    <w:rsid w:val="00D00D27"/>
    <w:rsid w:val="00D00FBA"/>
    <w:rsid w:val="00D0198D"/>
    <w:rsid w:val="00D01EC2"/>
    <w:rsid w:val="00D036E1"/>
    <w:rsid w:val="00D0557E"/>
    <w:rsid w:val="00D05B9A"/>
    <w:rsid w:val="00D0603A"/>
    <w:rsid w:val="00D07DAA"/>
    <w:rsid w:val="00D110A0"/>
    <w:rsid w:val="00D11DBC"/>
    <w:rsid w:val="00D12D55"/>
    <w:rsid w:val="00D151B2"/>
    <w:rsid w:val="00D164C2"/>
    <w:rsid w:val="00D17E63"/>
    <w:rsid w:val="00D20221"/>
    <w:rsid w:val="00D20EB7"/>
    <w:rsid w:val="00D21C24"/>
    <w:rsid w:val="00D232AE"/>
    <w:rsid w:val="00D25A82"/>
    <w:rsid w:val="00D33350"/>
    <w:rsid w:val="00D3595D"/>
    <w:rsid w:val="00D35AC4"/>
    <w:rsid w:val="00D366D8"/>
    <w:rsid w:val="00D377E4"/>
    <w:rsid w:val="00D40BB4"/>
    <w:rsid w:val="00D41FD4"/>
    <w:rsid w:val="00D43551"/>
    <w:rsid w:val="00D4457A"/>
    <w:rsid w:val="00D45491"/>
    <w:rsid w:val="00D464AD"/>
    <w:rsid w:val="00D46FF7"/>
    <w:rsid w:val="00D5091F"/>
    <w:rsid w:val="00D611AE"/>
    <w:rsid w:val="00D6359D"/>
    <w:rsid w:val="00D650BA"/>
    <w:rsid w:val="00D7096F"/>
    <w:rsid w:val="00D71C60"/>
    <w:rsid w:val="00D71EAA"/>
    <w:rsid w:val="00D71FCA"/>
    <w:rsid w:val="00D73F80"/>
    <w:rsid w:val="00D746BE"/>
    <w:rsid w:val="00D7591E"/>
    <w:rsid w:val="00D770DA"/>
    <w:rsid w:val="00D80B25"/>
    <w:rsid w:val="00D8103C"/>
    <w:rsid w:val="00D82AE0"/>
    <w:rsid w:val="00D83CF5"/>
    <w:rsid w:val="00D84757"/>
    <w:rsid w:val="00D85112"/>
    <w:rsid w:val="00D86C55"/>
    <w:rsid w:val="00D879A2"/>
    <w:rsid w:val="00D9459B"/>
    <w:rsid w:val="00D95599"/>
    <w:rsid w:val="00D97B63"/>
    <w:rsid w:val="00DA090A"/>
    <w:rsid w:val="00DA213D"/>
    <w:rsid w:val="00DA2E8C"/>
    <w:rsid w:val="00DA4F40"/>
    <w:rsid w:val="00DA52AE"/>
    <w:rsid w:val="00DA5513"/>
    <w:rsid w:val="00DA60E8"/>
    <w:rsid w:val="00DA6D77"/>
    <w:rsid w:val="00DA7992"/>
    <w:rsid w:val="00DB0AB1"/>
    <w:rsid w:val="00DB1EE8"/>
    <w:rsid w:val="00DB3875"/>
    <w:rsid w:val="00DB4374"/>
    <w:rsid w:val="00DB53DD"/>
    <w:rsid w:val="00DB7C30"/>
    <w:rsid w:val="00DC08C9"/>
    <w:rsid w:val="00DC1A95"/>
    <w:rsid w:val="00DC1E61"/>
    <w:rsid w:val="00DC3274"/>
    <w:rsid w:val="00DC3A69"/>
    <w:rsid w:val="00DC402C"/>
    <w:rsid w:val="00DC4A4C"/>
    <w:rsid w:val="00DC4A88"/>
    <w:rsid w:val="00DC5114"/>
    <w:rsid w:val="00DC6CCA"/>
    <w:rsid w:val="00DD019E"/>
    <w:rsid w:val="00DD0BAE"/>
    <w:rsid w:val="00DD2646"/>
    <w:rsid w:val="00DD3059"/>
    <w:rsid w:val="00DD4AF1"/>
    <w:rsid w:val="00DD6155"/>
    <w:rsid w:val="00DD6294"/>
    <w:rsid w:val="00DE0559"/>
    <w:rsid w:val="00DE0698"/>
    <w:rsid w:val="00DE081A"/>
    <w:rsid w:val="00DE0E13"/>
    <w:rsid w:val="00DE1220"/>
    <w:rsid w:val="00DE2E00"/>
    <w:rsid w:val="00DE419D"/>
    <w:rsid w:val="00DE4D26"/>
    <w:rsid w:val="00DE78DA"/>
    <w:rsid w:val="00DF04B3"/>
    <w:rsid w:val="00DF0A26"/>
    <w:rsid w:val="00DF2C79"/>
    <w:rsid w:val="00DF39DA"/>
    <w:rsid w:val="00DF4847"/>
    <w:rsid w:val="00DF59F3"/>
    <w:rsid w:val="00DF6179"/>
    <w:rsid w:val="00E02BAD"/>
    <w:rsid w:val="00E02DB2"/>
    <w:rsid w:val="00E03E07"/>
    <w:rsid w:val="00E03E92"/>
    <w:rsid w:val="00E06306"/>
    <w:rsid w:val="00E067A5"/>
    <w:rsid w:val="00E06DD0"/>
    <w:rsid w:val="00E07B00"/>
    <w:rsid w:val="00E07FD2"/>
    <w:rsid w:val="00E10333"/>
    <w:rsid w:val="00E1161E"/>
    <w:rsid w:val="00E13BE0"/>
    <w:rsid w:val="00E13EBC"/>
    <w:rsid w:val="00E14213"/>
    <w:rsid w:val="00E16017"/>
    <w:rsid w:val="00E1756D"/>
    <w:rsid w:val="00E17636"/>
    <w:rsid w:val="00E17E97"/>
    <w:rsid w:val="00E20373"/>
    <w:rsid w:val="00E203B4"/>
    <w:rsid w:val="00E22E2B"/>
    <w:rsid w:val="00E23DD2"/>
    <w:rsid w:val="00E24272"/>
    <w:rsid w:val="00E2488A"/>
    <w:rsid w:val="00E24FB6"/>
    <w:rsid w:val="00E305FE"/>
    <w:rsid w:val="00E30B81"/>
    <w:rsid w:val="00E30DF5"/>
    <w:rsid w:val="00E30F12"/>
    <w:rsid w:val="00E31584"/>
    <w:rsid w:val="00E31D97"/>
    <w:rsid w:val="00E326C6"/>
    <w:rsid w:val="00E34A19"/>
    <w:rsid w:val="00E37A63"/>
    <w:rsid w:val="00E40152"/>
    <w:rsid w:val="00E4105F"/>
    <w:rsid w:val="00E41804"/>
    <w:rsid w:val="00E4263E"/>
    <w:rsid w:val="00E4381E"/>
    <w:rsid w:val="00E45812"/>
    <w:rsid w:val="00E46601"/>
    <w:rsid w:val="00E46967"/>
    <w:rsid w:val="00E46ED4"/>
    <w:rsid w:val="00E51642"/>
    <w:rsid w:val="00E51884"/>
    <w:rsid w:val="00E55E4D"/>
    <w:rsid w:val="00E57597"/>
    <w:rsid w:val="00E57CCF"/>
    <w:rsid w:val="00E603C8"/>
    <w:rsid w:val="00E60704"/>
    <w:rsid w:val="00E60F85"/>
    <w:rsid w:val="00E6211C"/>
    <w:rsid w:val="00E63887"/>
    <w:rsid w:val="00E64F69"/>
    <w:rsid w:val="00E664DB"/>
    <w:rsid w:val="00E70214"/>
    <w:rsid w:val="00E7079D"/>
    <w:rsid w:val="00E7291B"/>
    <w:rsid w:val="00E72E2F"/>
    <w:rsid w:val="00E73B22"/>
    <w:rsid w:val="00E73D87"/>
    <w:rsid w:val="00E749E0"/>
    <w:rsid w:val="00E77042"/>
    <w:rsid w:val="00E77670"/>
    <w:rsid w:val="00E80DDC"/>
    <w:rsid w:val="00E81CF0"/>
    <w:rsid w:val="00E82642"/>
    <w:rsid w:val="00E83C7D"/>
    <w:rsid w:val="00E8493D"/>
    <w:rsid w:val="00E850BB"/>
    <w:rsid w:val="00E872CB"/>
    <w:rsid w:val="00E900A3"/>
    <w:rsid w:val="00E907D8"/>
    <w:rsid w:val="00E926BA"/>
    <w:rsid w:val="00E92AAA"/>
    <w:rsid w:val="00E92E38"/>
    <w:rsid w:val="00E932D4"/>
    <w:rsid w:val="00E965FC"/>
    <w:rsid w:val="00E96EEA"/>
    <w:rsid w:val="00EA0DA1"/>
    <w:rsid w:val="00EA0E82"/>
    <w:rsid w:val="00EA18C5"/>
    <w:rsid w:val="00EA28E9"/>
    <w:rsid w:val="00EA526D"/>
    <w:rsid w:val="00EB06D7"/>
    <w:rsid w:val="00EB123B"/>
    <w:rsid w:val="00EB1BDF"/>
    <w:rsid w:val="00EB20B6"/>
    <w:rsid w:val="00EB2F65"/>
    <w:rsid w:val="00EB4E04"/>
    <w:rsid w:val="00EB57A2"/>
    <w:rsid w:val="00EB6370"/>
    <w:rsid w:val="00EB733F"/>
    <w:rsid w:val="00EC04F6"/>
    <w:rsid w:val="00EC1D12"/>
    <w:rsid w:val="00EC2973"/>
    <w:rsid w:val="00EC3342"/>
    <w:rsid w:val="00EC3B38"/>
    <w:rsid w:val="00EC3FE6"/>
    <w:rsid w:val="00EC5361"/>
    <w:rsid w:val="00EC57EA"/>
    <w:rsid w:val="00ED095B"/>
    <w:rsid w:val="00ED1BB1"/>
    <w:rsid w:val="00ED1C92"/>
    <w:rsid w:val="00ED307E"/>
    <w:rsid w:val="00ED553A"/>
    <w:rsid w:val="00ED7C46"/>
    <w:rsid w:val="00EE4339"/>
    <w:rsid w:val="00EE454A"/>
    <w:rsid w:val="00EE4623"/>
    <w:rsid w:val="00EE4E40"/>
    <w:rsid w:val="00EF05C9"/>
    <w:rsid w:val="00EF1E48"/>
    <w:rsid w:val="00EF3E9C"/>
    <w:rsid w:val="00EF4FFF"/>
    <w:rsid w:val="00EF5AB9"/>
    <w:rsid w:val="00EF5D3D"/>
    <w:rsid w:val="00EF6BF6"/>
    <w:rsid w:val="00F000FA"/>
    <w:rsid w:val="00F02A65"/>
    <w:rsid w:val="00F03466"/>
    <w:rsid w:val="00F0535B"/>
    <w:rsid w:val="00F053B3"/>
    <w:rsid w:val="00F07617"/>
    <w:rsid w:val="00F07F4B"/>
    <w:rsid w:val="00F1008B"/>
    <w:rsid w:val="00F10FC1"/>
    <w:rsid w:val="00F13498"/>
    <w:rsid w:val="00F13D60"/>
    <w:rsid w:val="00F13E67"/>
    <w:rsid w:val="00F145E2"/>
    <w:rsid w:val="00F154E8"/>
    <w:rsid w:val="00F15867"/>
    <w:rsid w:val="00F15F23"/>
    <w:rsid w:val="00F203AA"/>
    <w:rsid w:val="00F20477"/>
    <w:rsid w:val="00F213AD"/>
    <w:rsid w:val="00F2149C"/>
    <w:rsid w:val="00F21AB4"/>
    <w:rsid w:val="00F22CCF"/>
    <w:rsid w:val="00F2530F"/>
    <w:rsid w:val="00F25FA0"/>
    <w:rsid w:val="00F26E36"/>
    <w:rsid w:val="00F30536"/>
    <w:rsid w:val="00F34E12"/>
    <w:rsid w:val="00F35C4A"/>
    <w:rsid w:val="00F37AB7"/>
    <w:rsid w:val="00F40068"/>
    <w:rsid w:val="00F43385"/>
    <w:rsid w:val="00F435CF"/>
    <w:rsid w:val="00F450C2"/>
    <w:rsid w:val="00F45E0F"/>
    <w:rsid w:val="00F47476"/>
    <w:rsid w:val="00F516E0"/>
    <w:rsid w:val="00F524FF"/>
    <w:rsid w:val="00F52A07"/>
    <w:rsid w:val="00F5398D"/>
    <w:rsid w:val="00F6332A"/>
    <w:rsid w:val="00F6415C"/>
    <w:rsid w:val="00F64DB1"/>
    <w:rsid w:val="00F661DB"/>
    <w:rsid w:val="00F66B02"/>
    <w:rsid w:val="00F67B12"/>
    <w:rsid w:val="00F71077"/>
    <w:rsid w:val="00F71222"/>
    <w:rsid w:val="00F715D2"/>
    <w:rsid w:val="00F716BF"/>
    <w:rsid w:val="00F74FB5"/>
    <w:rsid w:val="00F7604B"/>
    <w:rsid w:val="00F76731"/>
    <w:rsid w:val="00F76E8E"/>
    <w:rsid w:val="00F77F94"/>
    <w:rsid w:val="00F801FA"/>
    <w:rsid w:val="00F81962"/>
    <w:rsid w:val="00F81D74"/>
    <w:rsid w:val="00F82847"/>
    <w:rsid w:val="00F82C74"/>
    <w:rsid w:val="00F8407B"/>
    <w:rsid w:val="00F84695"/>
    <w:rsid w:val="00F86E08"/>
    <w:rsid w:val="00F91CB4"/>
    <w:rsid w:val="00F9279F"/>
    <w:rsid w:val="00F94BB1"/>
    <w:rsid w:val="00F95B03"/>
    <w:rsid w:val="00F979D7"/>
    <w:rsid w:val="00FA0AE6"/>
    <w:rsid w:val="00FA2BA9"/>
    <w:rsid w:val="00FA2FBA"/>
    <w:rsid w:val="00FA6314"/>
    <w:rsid w:val="00FA6C71"/>
    <w:rsid w:val="00FA7264"/>
    <w:rsid w:val="00FA75C4"/>
    <w:rsid w:val="00FA7EB0"/>
    <w:rsid w:val="00FB15BF"/>
    <w:rsid w:val="00FB1B84"/>
    <w:rsid w:val="00FB32DC"/>
    <w:rsid w:val="00FB42FE"/>
    <w:rsid w:val="00FB439C"/>
    <w:rsid w:val="00FB5091"/>
    <w:rsid w:val="00FB597C"/>
    <w:rsid w:val="00FB691B"/>
    <w:rsid w:val="00FB7F48"/>
    <w:rsid w:val="00FB7F7A"/>
    <w:rsid w:val="00FC0886"/>
    <w:rsid w:val="00FC0CF2"/>
    <w:rsid w:val="00FC1AEA"/>
    <w:rsid w:val="00FC2C64"/>
    <w:rsid w:val="00FC3317"/>
    <w:rsid w:val="00FC3AAE"/>
    <w:rsid w:val="00FC3F35"/>
    <w:rsid w:val="00FC736E"/>
    <w:rsid w:val="00FC741D"/>
    <w:rsid w:val="00FD0B35"/>
    <w:rsid w:val="00FD3679"/>
    <w:rsid w:val="00FD5A5D"/>
    <w:rsid w:val="00FE0692"/>
    <w:rsid w:val="00FE09BC"/>
    <w:rsid w:val="00FE0A0B"/>
    <w:rsid w:val="00FE110C"/>
    <w:rsid w:val="00FE21B5"/>
    <w:rsid w:val="00FE235B"/>
    <w:rsid w:val="00FE36F6"/>
    <w:rsid w:val="00FE5942"/>
    <w:rsid w:val="00FE5CD1"/>
    <w:rsid w:val="00FE7C32"/>
    <w:rsid w:val="00FF0051"/>
    <w:rsid w:val="00FF40A7"/>
    <w:rsid w:val="00FF4298"/>
    <w:rsid w:val="00FF4CD8"/>
    <w:rsid w:val="00FF54CB"/>
    <w:rsid w:val="00FF66FA"/>
    <w:rsid w:val="00FF7B61"/>
    <w:rsid w:val="00FF7E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C1DFB"/>
  <w14:defaultImageDpi w14:val="330"/>
  <w15:chartTrackingRefBased/>
  <w15:docId w15:val="{ED232886-1584-47AE-A55C-A561BC56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AA"/>
    <w:pPr>
      <w:spacing w:before="120" w:after="120" w:line="264" w:lineRule="auto"/>
    </w:pPr>
    <w:rPr>
      <w:spacing w:val="-2"/>
      <w:sz w:val="18"/>
    </w:rPr>
  </w:style>
  <w:style w:type="paragraph" w:styleId="Heading1">
    <w:name w:val="heading 1"/>
    <w:basedOn w:val="Normal"/>
    <w:next w:val="Normal"/>
    <w:link w:val="Heading1Char"/>
    <w:uiPriority w:val="9"/>
    <w:qFormat/>
    <w:rsid w:val="00CA34DF"/>
    <w:pPr>
      <w:keepNext/>
      <w:keepLines/>
      <w:numPr>
        <w:numId w:val="11"/>
      </w:numPr>
      <w:spacing w:before="300" w:after="100" w:line="216" w:lineRule="auto"/>
      <w:outlineLvl w:val="0"/>
    </w:pPr>
    <w:rPr>
      <w:rFonts w:ascii="Overpass" w:eastAsiaTheme="majorEastAsia" w:hAnsi="Overpass" w:cstheme="majorBidi"/>
      <w:caps/>
      <w:color w:val="000000" w:themeColor="text1"/>
      <w:sz w:val="30"/>
      <w:szCs w:val="32"/>
    </w:rPr>
  </w:style>
  <w:style w:type="paragraph" w:styleId="Heading2">
    <w:name w:val="heading 2"/>
    <w:basedOn w:val="Normal"/>
    <w:next w:val="Normal"/>
    <w:link w:val="Heading2Char"/>
    <w:uiPriority w:val="9"/>
    <w:unhideWhenUsed/>
    <w:qFormat/>
    <w:rsid w:val="00BB79D2"/>
    <w:pPr>
      <w:keepNext/>
      <w:keepLines/>
      <w:numPr>
        <w:ilvl w:val="1"/>
        <w:numId w:val="11"/>
      </w:numPr>
      <w:spacing w:before="180" w:after="0" w:line="216" w:lineRule="auto"/>
      <w:outlineLvl w:val="1"/>
    </w:pPr>
    <w:rPr>
      <w:rFonts w:ascii="Overpass" w:eastAsiaTheme="majorEastAsia" w:hAnsi="Overpass" w:cstheme="majorBidi"/>
      <w:sz w:val="24"/>
      <w:szCs w:val="26"/>
    </w:rPr>
  </w:style>
  <w:style w:type="paragraph" w:styleId="Heading3">
    <w:name w:val="heading 3"/>
    <w:basedOn w:val="Normal"/>
    <w:next w:val="Normal"/>
    <w:link w:val="Heading3Char"/>
    <w:uiPriority w:val="9"/>
    <w:unhideWhenUsed/>
    <w:qFormat/>
    <w:rsid w:val="00D11DBC"/>
    <w:pPr>
      <w:keepNext/>
      <w:keepLines/>
      <w:spacing w:before="180"/>
      <w:outlineLvl w:val="2"/>
    </w:pPr>
    <w:rPr>
      <w:rFonts w:asciiTheme="majorHAnsi" w:eastAsiaTheme="majorEastAsia" w:hAnsiTheme="majorHAnsi" w:cstheme="majorBidi"/>
      <w:caps/>
      <w:color w:val="B41EAA" w:themeColor="accent6"/>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8D531D"/>
    <w:pPr>
      <w:pBdr>
        <w:top w:val="single" w:sz="4" w:space="5" w:color="auto"/>
        <w:bottom w:val="single" w:sz="4" w:space="6" w:color="auto"/>
      </w:pBd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8D531D"/>
    <w:rPr>
      <w:rFonts w:ascii="Overpass" w:hAnsi="Overpass"/>
      <w:color w:val="808080"/>
      <w:spacing w:val="-2"/>
      <w:sz w:val="16"/>
    </w:rPr>
  </w:style>
  <w:style w:type="paragraph" w:customStyle="1" w:styleId="Section">
    <w:name w:val="Section"/>
    <w:basedOn w:val="Normal"/>
    <w:uiPriority w:val="8"/>
    <w:qFormat/>
    <w:rsid w:val="00D11DBC"/>
    <w:pPr>
      <w:spacing w:line="204" w:lineRule="auto"/>
      <w:outlineLvl w:val="0"/>
    </w:pPr>
    <w:rPr>
      <w:rFonts w:asciiTheme="majorHAnsi" w:hAnsiTheme="majorHAnsi"/>
      <w:caps/>
      <w:color w:val="B41EAA" w:themeColor="accent6"/>
      <w:spacing w:val="0"/>
      <w:sz w:val="46"/>
    </w:rPr>
  </w:style>
  <w:style w:type="character" w:customStyle="1" w:styleId="Heading1Char">
    <w:name w:val="Heading 1 Char"/>
    <w:basedOn w:val="DefaultParagraphFont"/>
    <w:link w:val="Heading1"/>
    <w:uiPriority w:val="9"/>
    <w:rsid w:val="00CA34DF"/>
    <w:rPr>
      <w:rFonts w:ascii="Overpass" w:eastAsiaTheme="majorEastAsia" w:hAnsi="Overpass" w:cstheme="majorBidi"/>
      <w:caps/>
      <w:color w:val="000000" w:themeColor="text1"/>
      <w:spacing w:val="-2"/>
      <w:sz w:val="30"/>
      <w:szCs w:val="32"/>
    </w:rPr>
  </w:style>
  <w:style w:type="character" w:customStyle="1" w:styleId="Heading2Char">
    <w:name w:val="Heading 2 Char"/>
    <w:basedOn w:val="DefaultParagraphFont"/>
    <w:link w:val="Heading2"/>
    <w:uiPriority w:val="9"/>
    <w:rsid w:val="00BB79D2"/>
    <w:rPr>
      <w:rFonts w:ascii="Overpass" w:eastAsiaTheme="majorEastAsia" w:hAnsi="Overpass" w:cstheme="majorBidi"/>
      <w:spacing w:val="-2"/>
      <w:sz w:val="24"/>
      <w:szCs w:val="26"/>
    </w:rPr>
  </w:style>
  <w:style w:type="paragraph" w:customStyle="1" w:styleId="Bullet">
    <w:name w:val="Bullet"/>
    <w:basedOn w:val="Normal"/>
    <w:uiPriority w:val="1"/>
    <w:qFormat/>
    <w:rsid w:val="007D2EAD"/>
    <w:pPr>
      <w:numPr>
        <w:numId w:val="12"/>
      </w:numPr>
      <w:spacing w:before="100" w:after="100"/>
      <w:ind w:left="1384" w:hanging="284"/>
    </w:pPr>
  </w:style>
  <w:style w:type="character" w:customStyle="1" w:styleId="Heading3Char">
    <w:name w:val="Heading 3 Char"/>
    <w:basedOn w:val="DefaultParagraphFont"/>
    <w:link w:val="Heading3"/>
    <w:uiPriority w:val="9"/>
    <w:rsid w:val="00D11DBC"/>
    <w:rPr>
      <w:rFonts w:asciiTheme="majorHAnsi" w:eastAsiaTheme="majorEastAsia" w:hAnsiTheme="majorHAnsi" w:cstheme="majorBidi"/>
      <w:caps/>
      <w:color w:val="B41EAA" w:themeColor="accent6"/>
      <w:sz w:val="24"/>
      <w:szCs w:val="24"/>
    </w:rPr>
  </w:style>
  <w:style w:type="paragraph" w:customStyle="1" w:styleId="Tabletext">
    <w:name w:val="Table text"/>
    <w:basedOn w:val="Normal"/>
    <w:uiPriority w:val="1"/>
    <w:qFormat/>
    <w:rsid w:val="007D2EAD"/>
    <w:pPr>
      <w:spacing w:before="80" w:after="80" w:line="240" w:lineRule="auto"/>
    </w:pPr>
    <w:rPr>
      <w:sz w:val="14"/>
    </w:rPr>
  </w:style>
  <w:style w:type="paragraph" w:customStyle="1" w:styleId="Tableheading">
    <w:name w:val="Table heading"/>
    <w:basedOn w:val="Normal"/>
    <w:uiPriority w:val="1"/>
    <w:qFormat/>
    <w:rsid w:val="00BB79D2"/>
    <w:pPr>
      <w:spacing w:before="80" w:after="80" w:line="240" w:lineRule="auto"/>
    </w:pPr>
    <w:rPr>
      <w:rFonts w:ascii="Overpass" w:hAnsi="Overpass"/>
      <w:b/>
      <w:caps/>
      <w:sz w:val="16"/>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31655E"/>
    <w:pPr>
      <w:spacing w:before="180"/>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D11DBC"/>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B41EAA" w:themeColor="accent6"/>
          <w:left w:val="single" w:sz="4" w:space="0" w:color="B41EAA" w:themeColor="accent6"/>
          <w:bottom w:val="single" w:sz="4" w:space="0" w:color="B41EAA" w:themeColor="accent6"/>
          <w:right w:val="single" w:sz="4" w:space="0" w:color="B41EAA" w:themeColor="accent6"/>
          <w:insideH w:val="single" w:sz="4" w:space="0" w:color="B41EAA" w:themeColor="accent6"/>
          <w:insideV w:val="single" w:sz="4" w:space="0" w:color="FFFFFF" w:themeColor="background1"/>
        </w:tcBorders>
        <w:shd w:val="clear" w:color="auto" w:fill="B41EAA" w:themeFill="accent6"/>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top w:val="none" w:sz="0" w:space="0" w:color="auto"/>
        <w:bottom w:val="single" w:sz="8" w:space="8" w:color="auto"/>
      </w:pBdr>
    </w:pPr>
    <w:rPr>
      <w:color w:val="000000" w:themeColor="text1"/>
      <w:sz w:val="24"/>
    </w:rPr>
  </w:style>
  <w:style w:type="paragraph" w:styleId="Title">
    <w:name w:val="Title"/>
    <w:basedOn w:val="Normal"/>
    <w:next w:val="Normal"/>
    <w:link w:val="TitleChar"/>
    <w:uiPriority w:val="10"/>
    <w:qFormat/>
    <w:rsid w:val="00BB79D2"/>
    <w:pPr>
      <w:spacing w:before="0" w:after="0" w:line="192" w:lineRule="auto"/>
      <w:contextualSpacing/>
    </w:pPr>
    <w:rPr>
      <w:rFonts w:asciiTheme="majorHAnsi" w:eastAsiaTheme="majorEastAsia" w:hAnsiTheme="majorHAnsi" w:cstheme="majorBidi"/>
      <w:caps/>
      <w:color w:val="FFFFFF" w:themeColor="background1"/>
      <w:spacing w:val="-10"/>
      <w:kern w:val="28"/>
      <w:sz w:val="74"/>
      <w:szCs w:val="56"/>
    </w:rPr>
  </w:style>
  <w:style w:type="character" w:customStyle="1" w:styleId="TitleChar">
    <w:name w:val="Title Char"/>
    <w:basedOn w:val="DefaultParagraphFont"/>
    <w:link w:val="Title"/>
    <w:uiPriority w:val="10"/>
    <w:rsid w:val="00BB79D2"/>
    <w:rPr>
      <w:rFonts w:asciiTheme="majorHAnsi" w:eastAsiaTheme="majorEastAsia" w:hAnsiTheme="majorHAnsi" w:cstheme="majorBidi"/>
      <w:caps/>
      <w:color w:val="FFFFFF" w:themeColor="background1"/>
      <w:spacing w:val="-10"/>
      <w:kern w:val="28"/>
      <w:sz w:val="74"/>
      <w:szCs w:val="56"/>
    </w:rPr>
  </w:style>
  <w:style w:type="paragraph" w:styleId="Subtitle">
    <w:name w:val="Subtitle"/>
    <w:basedOn w:val="Normal"/>
    <w:next w:val="Normal"/>
    <w:link w:val="SubtitleChar"/>
    <w:uiPriority w:val="11"/>
    <w:qFormat/>
    <w:rsid w:val="00951964"/>
    <w:pPr>
      <w:numPr>
        <w:ilvl w:val="1"/>
      </w:numPr>
      <w:spacing w:before="160" w:after="16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951964"/>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qFormat/>
    <w:rsid w:val="00D11DBC"/>
    <w:pPr>
      <w:numPr>
        <w:numId w:val="0"/>
      </w:numPr>
      <w:spacing w:before="240" w:after="0" w:line="264" w:lineRule="auto"/>
      <w:outlineLvl w:val="9"/>
    </w:pPr>
    <w:rPr>
      <w:rFonts w:asciiTheme="majorHAnsi" w:hAnsiTheme="majorHAnsi"/>
      <w:color w:val="B41EAA" w:themeColor="accent6"/>
      <w:sz w:val="32"/>
    </w:rPr>
  </w:style>
  <w:style w:type="paragraph" w:styleId="TOC1">
    <w:name w:val="toc 1"/>
    <w:basedOn w:val="Normal"/>
    <w:next w:val="Normal"/>
    <w:autoRedefine/>
    <w:uiPriority w:val="39"/>
    <w:unhideWhenUsed/>
    <w:rsid w:val="00681BA0"/>
    <w:pPr>
      <w:tabs>
        <w:tab w:val="right" w:leader="dot" w:pos="8891"/>
      </w:tabs>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paragraph" w:customStyle="1" w:styleId="Intro">
    <w:name w:val="Intro"/>
    <w:basedOn w:val="Normal"/>
    <w:uiPriority w:val="1"/>
    <w:qFormat/>
    <w:rsid w:val="00B54BB8"/>
    <w:rPr>
      <w:rFonts w:ascii="Overpass" w:hAnsi="Overpass"/>
      <w:b/>
    </w:rPr>
  </w:style>
  <w:style w:type="paragraph" w:styleId="NoSpacing">
    <w:name w:val="No Spacing"/>
    <w:uiPriority w:val="1"/>
    <w:qFormat/>
    <w:rsid w:val="00735275"/>
    <w:pPr>
      <w:spacing w:after="0" w:line="240" w:lineRule="auto"/>
    </w:pPr>
    <w:rPr>
      <w:spacing w:val="-2"/>
      <w:sz w:val="18"/>
    </w:rPr>
  </w:style>
  <w:style w:type="paragraph" w:customStyle="1" w:styleId="FooterEQAU">
    <w:name w:val="FooterEQAU"/>
    <w:next w:val="Normal"/>
    <w:qFormat/>
    <w:rsid w:val="00735275"/>
    <w:pPr>
      <w:spacing w:after="0" w:line="240" w:lineRule="auto"/>
    </w:pPr>
    <w:rPr>
      <w:rFonts w:ascii="PhosphateSolid" w:hAnsi="PhosphateSolid"/>
      <w:caps/>
      <w:color w:val="000000" w:themeColor="text1"/>
      <w:sz w:val="24"/>
    </w:rPr>
  </w:style>
  <w:style w:type="paragraph" w:customStyle="1" w:styleId="FooterP1EQAU">
    <w:name w:val="Footer P1 EQAU"/>
    <w:next w:val="Normal"/>
    <w:qFormat/>
    <w:rsid w:val="00735275"/>
    <w:pPr>
      <w:spacing w:after="0" w:line="240" w:lineRule="auto"/>
    </w:pPr>
    <w:rPr>
      <w:rFonts w:ascii="PhosphateSolid" w:hAnsi="PhosphateSolid"/>
      <w:caps/>
      <w:spacing w:val="-2"/>
      <w:sz w:val="24"/>
    </w:rPr>
  </w:style>
  <w:style w:type="character" w:customStyle="1" w:styleId="normaltextrun">
    <w:name w:val="normaltextrun"/>
    <w:basedOn w:val="DefaultParagraphFont"/>
    <w:rsid w:val="00F15F23"/>
  </w:style>
  <w:style w:type="character" w:customStyle="1" w:styleId="eop">
    <w:name w:val="eop"/>
    <w:basedOn w:val="DefaultParagraphFont"/>
    <w:rsid w:val="002111B3"/>
  </w:style>
  <w:style w:type="paragraph" w:customStyle="1" w:styleId="paragraph">
    <w:name w:val="paragraph"/>
    <w:basedOn w:val="Normal"/>
    <w:rsid w:val="00C6301A"/>
    <w:pPr>
      <w:spacing w:before="100" w:beforeAutospacing="1" w:after="100" w:afterAutospacing="1" w:line="240" w:lineRule="auto"/>
    </w:pPr>
    <w:rPr>
      <w:rFonts w:ascii="Times New Roman" w:eastAsia="Times New Roman" w:hAnsi="Times New Roman" w:cs="Times New Roman"/>
      <w:spacing w:val="0"/>
      <w:sz w:val="24"/>
      <w:szCs w:val="24"/>
      <w:lang w:eastAsia="en-AU"/>
    </w:rPr>
  </w:style>
  <w:style w:type="character" w:customStyle="1" w:styleId="superscript">
    <w:name w:val="superscript"/>
    <w:basedOn w:val="DefaultParagraphFont"/>
    <w:rsid w:val="00352195"/>
  </w:style>
  <w:style w:type="character" w:styleId="BookTitle">
    <w:name w:val="Book Title"/>
    <w:basedOn w:val="DefaultParagraphFont"/>
    <w:uiPriority w:val="33"/>
    <w:qFormat/>
    <w:rsid w:val="00E17E97"/>
    <w:rPr>
      <w:b/>
      <w:bCs/>
      <w:i/>
      <w:iCs/>
      <w:spacing w:val="5"/>
    </w:rPr>
  </w:style>
  <w:style w:type="paragraph" w:styleId="ListParagraph">
    <w:name w:val="List Paragraph"/>
    <w:basedOn w:val="Normal"/>
    <w:uiPriority w:val="34"/>
    <w:qFormat/>
    <w:rsid w:val="00C00442"/>
    <w:pPr>
      <w:ind w:left="720"/>
      <w:contextualSpacing/>
    </w:pPr>
  </w:style>
  <w:style w:type="paragraph" w:styleId="Revision">
    <w:name w:val="Revision"/>
    <w:hidden/>
    <w:uiPriority w:val="99"/>
    <w:semiHidden/>
    <w:rsid w:val="00816F8E"/>
    <w:pPr>
      <w:spacing w:after="0" w:line="240" w:lineRule="auto"/>
    </w:pPr>
    <w:rPr>
      <w:spacing w:val="-2"/>
      <w:sz w:val="18"/>
    </w:rPr>
  </w:style>
  <w:style w:type="character" w:styleId="CommentReference">
    <w:name w:val="annotation reference"/>
    <w:basedOn w:val="DefaultParagraphFont"/>
    <w:uiPriority w:val="99"/>
    <w:semiHidden/>
    <w:unhideWhenUsed/>
    <w:rsid w:val="00FA2BA9"/>
    <w:rPr>
      <w:sz w:val="16"/>
      <w:szCs w:val="16"/>
    </w:rPr>
  </w:style>
  <w:style w:type="paragraph" w:styleId="CommentText">
    <w:name w:val="annotation text"/>
    <w:basedOn w:val="Normal"/>
    <w:link w:val="CommentTextChar"/>
    <w:uiPriority w:val="99"/>
    <w:unhideWhenUsed/>
    <w:rsid w:val="00FA2BA9"/>
    <w:pPr>
      <w:spacing w:line="240" w:lineRule="auto"/>
    </w:pPr>
    <w:rPr>
      <w:sz w:val="20"/>
      <w:szCs w:val="20"/>
    </w:rPr>
  </w:style>
  <w:style w:type="character" w:customStyle="1" w:styleId="CommentTextChar">
    <w:name w:val="Comment Text Char"/>
    <w:basedOn w:val="DefaultParagraphFont"/>
    <w:link w:val="CommentText"/>
    <w:uiPriority w:val="99"/>
    <w:rsid w:val="00FA2BA9"/>
    <w:rPr>
      <w:spacing w:val="-2"/>
      <w:sz w:val="20"/>
      <w:szCs w:val="20"/>
    </w:rPr>
  </w:style>
  <w:style w:type="paragraph" w:styleId="CommentSubject">
    <w:name w:val="annotation subject"/>
    <w:basedOn w:val="CommentText"/>
    <w:next w:val="CommentText"/>
    <w:link w:val="CommentSubjectChar"/>
    <w:uiPriority w:val="99"/>
    <w:semiHidden/>
    <w:unhideWhenUsed/>
    <w:rsid w:val="00FA2BA9"/>
    <w:rPr>
      <w:b/>
      <w:bCs/>
    </w:rPr>
  </w:style>
  <w:style w:type="character" w:customStyle="1" w:styleId="CommentSubjectChar">
    <w:name w:val="Comment Subject Char"/>
    <w:basedOn w:val="CommentTextChar"/>
    <w:link w:val="CommentSubject"/>
    <w:uiPriority w:val="99"/>
    <w:semiHidden/>
    <w:rsid w:val="00FA2BA9"/>
    <w:rPr>
      <w:b/>
      <w:bCs/>
      <w:spacing w:val="-2"/>
      <w:sz w:val="20"/>
      <w:szCs w:val="20"/>
    </w:rPr>
  </w:style>
  <w:style w:type="character" w:styleId="UnresolvedMention">
    <w:name w:val="Unresolved Mention"/>
    <w:basedOn w:val="DefaultParagraphFont"/>
    <w:uiPriority w:val="99"/>
    <w:semiHidden/>
    <w:unhideWhenUsed/>
    <w:rsid w:val="009D0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3390">
      <w:bodyDiv w:val="1"/>
      <w:marLeft w:val="0"/>
      <w:marRight w:val="0"/>
      <w:marTop w:val="0"/>
      <w:marBottom w:val="0"/>
      <w:divBdr>
        <w:top w:val="none" w:sz="0" w:space="0" w:color="auto"/>
        <w:left w:val="none" w:sz="0" w:space="0" w:color="auto"/>
        <w:bottom w:val="none" w:sz="0" w:space="0" w:color="auto"/>
        <w:right w:val="none" w:sz="0" w:space="0" w:color="auto"/>
      </w:divBdr>
      <w:divsChild>
        <w:div w:id="142427152">
          <w:marLeft w:val="0"/>
          <w:marRight w:val="0"/>
          <w:marTop w:val="0"/>
          <w:marBottom w:val="0"/>
          <w:divBdr>
            <w:top w:val="none" w:sz="0" w:space="0" w:color="auto"/>
            <w:left w:val="none" w:sz="0" w:space="0" w:color="auto"/>
            <w:bottom w:val="none" w:sz="0" w:space="0" w:color="auto"/>
            <w:right w:val="none" w:sz="0" w:space="0" w:color="auto"/>
          </w:divBdr>
        </w:div>
        <w:div w:id="882599756">
          <w:marLeft w:val="0"/>
          <w:marRight w:val="0"/>
          <w:marTop w:val="0"/>
          <w:marBottom w:val="0"/>
          <w:divBdr>
            <w:top w:val="none" w:sz="0" w:space="0" w:color="auto"/>
            <w:left w:val="none" w:sz="0" w:space="0" w:color="auto"/>
            <w:bottom w:val="none" w:sz="0" w:space="0" w:color="auto"/>
            <w:right w:val="none" w:sz="0" w:space="0" w:color="auto"/>
          </w:divBdr>
        </w:div>
        <w:div w:id="1598904928">
          <w:marLeft w:val="0"/>
          <w:marRight w:val="0"/>
          <w:marTop w:val="0"/>
          <w:marBottom w:val="0"/>
          <w:divBdr>
            <w:top w:val="none" w:sz="0" w:space="0" w:color="auto"/>
            <w:left w:val="none" w:sz="0" w:space="0" w:color="auto"/>
            <w:bottom w:val="none" w:sz="0" w:space="0" w:color="auto"/>
            <w:right w:val="none" w:sz="0" w:space="0" w:color="auto"/>
          </w:divBdr>
        </w:div>
      </w:divsChild>
    </w:div>
    <w:div w:id="1610232679">
      <w:bodyDiv w:val="1"/>
      <w:marLeft w:val="0"/>
      <w:marRight w:val="0"/>
      <w:marTop w:val="0"/>
      <w:marBottom w:val="0"/>
      <w:divBdr>
        <w:top w:val="none" w:sz="0" w:space="0" w:color="auto"/>
        <w:left w:val="none" w:sz="0" w:space="0" w:color="auto"/>
        <w:bottom w:val="none" w:sz="0" w:space="0" w:color="auto"/>
        <w:right w:val="none" w:sz="0" w:space="0" w:color="auto"/>
      </w:divBdr>
      <w:divsChild>
        <w:div w:id="489827393">
          <w:marLeft w:val="0"/>
          <w:marRight w:val="0"/>
          <w:marTop w:val="0"/>
          <w:marBottom w:val="0"/>
          <w:divBdr>
            <w:top w:val="none" w:sz="0" w:space="0" w:color="auto"/>
            <w:left w:val="none" w:sz="0" w:space="0" w:color="auto"/>
            <w:bottom w:val="none" w:sz="0" w:space="0" w:color="auto"/>
            <w:right w:val="none" w:sz="0" w:space="0" w:color="auto"/>
          </w:divBdr>
        </w:div>
        <w:div w:id="75755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vic.gov.au/publications/i-am-equal" TargetMode="External"/><Relationship Id="rId3" Type="http://schemas.openxmlformats.org/officeDocument/2006/relationships/hyperlink" Target="https://law.unimelb.edu.au/__data/assets/pdf_file/0005/3181325/AGLC4-with-Bookmarks-1.pdf" TargetMode="External"/><Relationship Id="rId7" Type="http://schemas.openxmlformats.org/officeDocument/2006/relationships/hyperlink" Target="https://humanrights.gov.au/intersex-report-2021" TargetMode="External"/><Relationship Id="rId2" Type="http://schemas.openxmlformats.org/officeDocument/2006/relationships/hyperlink" Target="https://law.unimelb.edu.au/__data/assets/pdf_file/0005/3181325/AGLC4-with-Bookmarks-1.pdf" TargetMode="External"/><Relationship Id="rId1" Type="http://schemas.openxmlformats.org/officeDocument/2006/relationships/hyperlink" Target="https://law.unimelb.edu.au/__data/assets/pdf_file/0005/3181325/AGLC4-with-Bookmarks-1.pdf" TargetMode="External"/><Relationship Id="rId6" Type="http://schemas.openxmlformats.org/officeDocument/2006/relationships/hyperlink" Target="https://www.qhrc.qld.gov.au/__data/assets/pdf_file/0012/40224/QHRC-Building-Belonging.WCAG.pdf" TargetMode="External"/><Relationship Id="rId5" Type="http://schemas.openxmlformats.org/officeDocument/2006/relationships/hyperlink" Target="https://www.ag.gov.au/rights-and-protections/publications/australian-government-guidelines-recognition-sex-and-gender" TargetMode="External"/><Relationship Id="rId4" Type="http://schemas.openxmlformats.org/officeDocument/2006/relationships/hyperlink" Target="https://law.unimelb.edu.au/__data/assets/pdf_file/0005/3181325/AGLC4-with-Bookmarks-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c79d794-a9ec-4354-9107-e4df09cb257d" xsi:nil="true"/>
    <lcf76f155ced4ddcb4097134ff3c332f xmlns="35532c8e-695c-43df-8a7e-82da739a192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9D0AFC8B1509468FB8D67C14503C4F" ma:contentTypeVersion="16" ma:contentTypeDescription="Create a new document." ma:contentTypeScope="" ma:versionID="a6d5ec1e0b647c9e3acba1ced5540169">
  <xsd:schema xmlns:xsd="http://www.w3.org/2001/XMLSchema" xmlns:xs="http://www.w3.org/2001/XMLSchema" xmlns:p="http://schemas.microsoft.com/office/2006/metadata/properties" xmlns:ns2="35532c8e-695c-43df-8a7e-82da739a1926" xmlns:ns3="1c79d794-a9ec-4354-9107-e4df09cb257d" targetNamespace="http://schemas.microsoft.com/office/2006/metadata/properties" ma:root="true" ma:fieldsID="7a62d529b2c7fc5a17a2c39988e69058" ns2:_="" ns3:_="">
    <xsd:import namespace="35532c8e-695c-43df-8a7e-82da739a1926"/>
    <xsd:import namespace="1c79d794-a9ec-4354-9107-e4df09cb25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32c8e-695c-43df-8a7e-82da739a1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117924-8e6d-447e-ab6d-46239723e3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9d794-a9ec-4354-9107-e4df09cb25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0de611-a90a-44d5-a6ed-dc7c2317ea54}" ma:internalName="TaxCatchAll" ma:showField="CatchAllData" ma:web="1c79d794-a9ec-4354-9107-e4df09cb25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4C56D-4229-49ED-993C-9637599C3C80}">
  <ds:schemaRefs>
    <ds:schemaRef ds:uri="http://schemas.microsoft.com/sharepoint/v3/contenttype/forms"/>
  </ds:schemaRefs>
</ds:datastoreItem>
</file>

<file path=customXml/itemProps2.xml><?xml version="1.0" encoding="utf-8"?>
<ds:datastoreItem xmlns:ds="http://schemas.openxmlformats.org/officeDocument/2006/customXml" ds:itemID="{79463B32-D467-4F18-9307-3AF3376FA82C}">
  <ds:schemaRefs>
    <ds:schemaRef ds:uri="http://schemas.openxmlformats.org/officeDocument/2006/bibliography"/>
  </ds:schemaRefs>
</ds:datastoreItem>
</file>

<file path=customXml/itemProps3.xml><?xml version="1.0" encoding="utf-8"?>
<ds:datastoreItem xmlns:ds="http://schemas.openxmlformats.org/officeDocument/2006/customXml" ds:itemID="{CBB35633-047E-4645-B02E-872CAE4654C0}">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c79d794-a9ec-4354-9107-e4df09cb257d"/>
    <ds:schemaRef ds:uri="http://purl.org/dc/elements/1.1/"/>
    <ds:schemaRef ds:uri="35532c8e-695c-43df-8a7e-82da739a1926"/>
    <ds:schemaRef ds:uri="http://www.w3.org/XML/1998/namespace"/>
    <ds:schemaRef ds:uri="http://purl.org/dc/dcmitype/"/>
  </ds:schemaRefs>
</ds:datastoreItem>
</file>

<file path=customXml/itemProps4.xml><?xml version="1.0" encoding="utf-8"?>
<ds:datastoreItem xmlns:ds="http://schemas.openxmlformats.org/officeDocument/2006/customXml" ds:itemID="{0307F1E5-B28A-456A-A046-46014B319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32c8e-695c-43df-8a7e-82da739a1926"/>
    <ds:schemaRef ds:uri="1c79d794-a9ec-4354-9107-e4df09cb2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4866</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Flannery</dc:creator>
  <cp:keywords/>
  <dc:description/>
  <cp:lastModifiedBy>Ghassan Kassisieh</cp:lastModifiedBy>
  <cp:revision>2</cp:revision>
  <cp:lastPrinted>2023-01-19T02:04:00Z</cp:lastPrinted>
  <dcterms:created xsi:type="dcterms:W3CDTF">2023-01-19T02:05:00Z</dcterms:created>
  <dcterms:modified xsi:type="dcterms:W3CDTF">2023-01-19T02:05:00Z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0x010100699D0AFC8B1509468FB8D67C14503C4F</vt:lpwstr>
  </property>
  <property fmtid="{D5CDD505-2E9C-101B-9397-08002B2CF9AE}" pid="3" name="Order">
    <vt:r8>12200</vt:r8>
  </property>
  <property fmtid="{D5CDD505-2E9C-101B-9397-08002B2CF9AE}" pid="4" name="MediaServiceImageTags">
    <vt:lpwstr/>
  </property>
</Properties>
</file>