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1"/>
      </w:tblGrid>
      <w:tr w:rsidR="00BC15C8" w14:paraId="1638E670" w14:textId="77777777" w:rsidTr="00951964">
        <w:trPr>
          <w:trHeight w:val="3770"/>
        </w:trPr>
        <w:tc>
          <w:tcPr>
            <w:tcW w:w="8891" w:type="dxa"/>
            <w:vAlign w:val="bottom"/>
          </w:tcPr>
          <w:p w14:paraId="5651ABCE" w14:textId="77777777" w:rsidR="00BC15C8" w:rsidRDefault="00BC15C8" w:rsidP="00CA34DF"/>
        </w:tc>
      </w:tr>
      <w:tr w:rsidR="00BC15C8" w14:paraId="66F3192A" w14:textId="77777777" w:rsidTr="00951964">
        <w:trPr>
          <w:trHeight w:val="3107"/>
        </w:trPr>
        <w:tc>
          <w:tcPr>
            <w:tcW w:w="8891" w:type="dxa"/>
            <w:vAlign w:val="bottom"/>
          </w:tcPr>
          <w:p w14:paraId="1FED200B" w14:textId="2A6DD091" w:rsidR="00BC15C8" w:rsidRDefault="00107DCB" w:rsidP="00627E76">
            <w:pPr>
              <w:pStyle w:val="Title"/>
            </w:pPr>
            <w:r>
              <w:t xml:space="preserve">an equality </w:t>
            </w:r>
            <w:r w:rsidR="00904E0A">
              <w:t>act</w:t>
            </w:r>
            <w:r>
              <w:t xml:space="preserve"> for the equality capital:</w:t>
            </w:r>
          </w:p>
        </w:tc>
      </w:tr>
      <w:tr w:rsidR="00951964" w14:paraId="779428FB" w14:textId="77777777" w:rsidTr="00951964">
        <w:trPr>
          <w:trHeight w:val="3035"/>
        </w:trPr>
        <w:tc>
          <w:tcPr>
            <w:tcW w:w="8891" w:type="dxa"/>
          </w:tcPr>
          <w:p w14:paraId="4C9B2981" w14:textId="51A74758" w:rsidR="00951964" w:rsidRDefault="00107DCB" w:rsidP="00627E76">
            <w:pPr>
              <w:pStyle w:val="Subtitle"/>
            </w:pPr>
            <w:r>
              <w:t xml:space="preserve">submission to the act </w:t>
            </w:r>
            <w:r w:rsidR="00904E0A">
              <w:t>discrimination law reform review</w:t>
            </w:r>
          </w:p>
        </w:tc>
      </w:tr>
    </w:tbl>
    <w:p w14:paraId="05FBEBD3" w14:textId="5B25840C" w:rsidR="005375D5" w:rsidRPr="00951964" w:rsidRDefault="005375D5" w:rsidP="00951964"/>
    <w:p w14:paraId="37777F4F" w14:textId="77777777" w:rsidR="008D531D" w:rsidRDefault="008D531D" w:rsidP="00CA34DF">
      <w:pPr>
        <w:sectPr w:rsidR="008D531D" w:rsidSect="00735275">
          <w:headerReference w:type="default" r:id="rId11"/>
          <w:footerReference w:type="default" r:id="rId12"/>
          <w:pgSz w:w="11907" w:h="16840" w:code="9"/>
          <w:pgMar w:top="1644" w:right="1021" w:bottom="1644" w:left="1985" w:header="709" w:footer="497" w:gutter="0"/>
          <w:cols w:space="708"/>
          <w:docGrid w:linePitch="360"/>
        </w:sectPr>
      </w:pPr>
    </w:p>
    <w:p w14:paraId="51833D42" w14:textId="51D0960C" w:rsidR="00BB79D2" w:rsidRDefault="00BB79D2" w:rsidP="00BB79D2">
      <w:pPr>
        <w:pStyle w:val="TOCHeading"/>
      </w:pPr>
      <w:r>
        <w:lastRenderedPageBreak/>
        <w:t>Contents</w:t>
      </w:r>
    </w:p>
    <w:p w14:paraId="3CA5DEC5" w14:textId="133AF875" w:rsidR="00DA3A57" w:rsidRPr="00DA3A57" w:rsidRDefault="00BB79D2">
      <w:pPr>
        <w:pStyle w:val="TOC1"/>
        <w:tabs>
          <w:tab w:val="right" w:leader="dot" w:pos="8891"/>
        </w:tabs>
        <w:rPr>
          <w:rFonts w:eastAsiaTheme="minorEastAsia"/>
          <w:b/>
          <w:bCs/>
          <w:noProof/>
          <w:spacing w:val="0"/>
          <w:sz w:val="22"/>
          <w:lang w:eastAsia="en-AU"/>
        </w:rPr>
      </w:pPr>
      <w:r>
        <w:fldChar w:fldCharType="begin"/>
      </w:r>
      <w:r>
        <w:instrText xml:space="preserve"> TOC \o "1-2" \h \z \u </w:instrText>
      </w:r>
      <w:r>
        <w:fldChar w:fldCharType="separate"/>
      </w:r>
      <w:hyperlink w:anchor="_Toc94283543" w:history="1">
        <w:r w:rsidR="00DA3A57" w:rsidRPr="00DA3A57">
          <w:rPr>
            <w:rStyle w:val="Hyperlink"/>
            <w:b/>
            <w:bCs/>
            <w:noProof/>
          </w:rPr>
          <w:t>Executive summary</w:t>
        </w:r>
        <w:r w:rsidR="00DA3A57" w:rsidRPr="00DA3A57">
          <w:rPr>
            <w:b/>
            <w:bCs/>
            <w:noProof/>
            <w:webHidden/>
          </w:rPr>
          <w:tab/>
        </w:r>
        <w:r w:rsidR="00DA3A57" w:rsidRPr="00DA3A57">
          <w:rPr>
            <w:b/>
            <w:bCs/>
            <w:noProof/>
            <w:webHidden/>
          </w:rPr>
          <w:fldChar w:fldCharType="begin"/>
        </w:r>
        <w:r w:rsidR="00DA3A57" w:rsidRPr="00DA3A57">
          <w:rPr>
            <w:b/>
            <w:bCs/>
            <w:noProof/>
            <w:webHidden/>
          </w:rPr>
          <w:instrText xml:space="preserve"> PAGEREF _Toc94283543 \h </w:instrText>
        </w:r>
        <w:r w:rsidR="00DA3A57" w:rsidRPr="00DA3A57">
          <w:rPr>
            <w:b/>
            <w:bCs/>
            <w:noProof/>
            <w:webHidden/>
          </w:rPr>
        </w:r>
        <w:r w:rsidR="00DA3A57" w:rsidRPr="00DA3A57">
          <w:rPr>
            <w:b/>
            <w:bCs/>
            <w:noProof/>
            <w:webHidden/>
          </w:rPr>
          <w:fldChar w:fldCharType="separate"/>
        </w:r>
        <w:r w:rsidR="004109B9">
          <w:rPr>
            <w:b/>
            <w:bCs/>
            <w:noProof/>
            <w:webHidden/>
          </w:rPr>
          <w:t>3</w:t>
        </w:r>
        <w:r w:rsidR="00DA3A57" w:rsidRPr="00DA3A57">
          <w:rPr>
            <w:b/>
            <w:bCs/>
            <w:noProof/>
            <w:webHidden/>
          </w:rPr>
          <w:fldChar w:fldCharType="end"/>
        </w:r>
      </w:hyperlink>
    </w:p>
    <w:p w14:paraId="426002C8" w14:textId="3AA43C7A" w:rsidR="00DA3A57" w:rsidRPr="00DA3A57" w:rsidRDefault="00464323">
      <w:pPr>
        <w:pStyle w:val="TOC1"/>
        <w:tabs>
          <w:tab w:val="right" w:leader="dot" w:pos="8891"/>
        </w:tabs>
        <w:rPr>
          <w:rFonts w:eastAsiaTheme="minorEastAsia"/>
          <w:b/>
          <w:bCs/>
          <w:noProof/>
          <w:spacing w:val="0"/>
          <w:sz w:val="22"/>
          <w:lang w:eastAsia="en-AU"/>
        </w:rPr>
      </w:pPr>
      <w:hyperlink w:anchor="_Toc94283544" w:history="1">
        <w:r w:rsidR="00DA3A57" w:rsidRPr="00DA3A57">
          <w:rPr>
            <w:rStyle w:val="Hyperlink"/>
            <w:b/>
            <w:bCs/>
            <w:noProof/>
          </w:rPr>
          <w:t>Playing by the same rules</w:t>
        </w:r>
        <w:r w:rsidR="00DA3A57" w:rsidRPr="00DA3A57">
          <w:rPr>
            <w:b/>
            <w:bCs/>
            <w:noProof/>
            <w:webHidden/>
          </w:rPr>
          <w:tab/>
        </w:r>
        <w:r w:rsidR="00DA3A57" w:rsidRPr="00DA3A57">
          <w:rPr>
            <w:b/>
            <w:bCs/>
            <w:noProof/>
            <w:webHidden/>
          </w:rPr>
          <w:fldChar w:fldCharType="begin"/>
        </w:r>
        <w:r w:rsidR="00DA3A57" w:rsidRPr="00DA3A57">
          <w:rPr>
            <w:b/>
            <w:bCs/>
            <w:noProof/>
            <w:webHidden/>
          </w:rPr>
          <w:instrText xml:space="preserve"> PAGEREF _Toc94283544 \h </w:instrText>
        </w:r>
        <w:r w:rsidR="00DA3A57" w:rsidRPr="00DA3A57">
          <w:rPr>
            <w:b/>
            <w:bCs/>
            <w:noProof/>
            <w:webHidden/>
          </w:rPr>
        </w:r>
        <w:r w:rsidR="00DA3A57" w:rsidRPr="00DA3A57">
          <w:rPr>
            <w:b/>
            <w:bCs/>
            <w:noProof/>
            <w:webHidden/>
          </w:rPr>
          <w:fldChar w:fldCharType="separate"/>
        </w:r>
        <w:r w:rsidR="004109B9">
          <w:rPr>
            <w:b/>
            <w:bCs/>
            <w:noProof/>
            <w:webHidden/>
          </w:rPr>
          <w:t>5</w:t>
        </w:r>
        <w:r w:rsidR="00DA3A57" w:rsidRPr="00DA3A57">
          <w:rPr>
            <w:b/>
            <w:bCs/>
            <w:noProof/>
            <w:webHidden/>
          </w:rPr>
          <w:fldChar w:fldCharType="end"/>
        </w:r>
      </w:hyperlink>
    </w:p>
    <w:p w14:paraId="78579CFA" w14:textId="21350905" w:rsidR="00DA3A57" w:rsidRDefault="00464323">
      <w:pPr>
        <w:pStyle w:val="TOC1"/>
        <w:tabs>
          <w:tab w:val="left" w:pos="440"/>
          <w:tab w:val="right" w:leader="dot" w:pos="8891"/>
        </w:tabs>
        <w:rPr>
          <w:rFonts w:eastAsiaTheme="minorEastAsia"/>
          <w:noProof/>
          <w:spacing w:val="0"/>
          <w:sz w:val="22"/>
          <w:lang w:eastAsia="en-AU"/>
        </w:rPr>
      </w:pPr>
      <w:hyperlink w:anchor="_Toc94283545" w:history="1">
        <w:r w:rsidR="00DA3A57" w:rsidRPr="001A55EE">
          <w:rPr>
            <w:rStyle w:val="Hyperlink"/>
            <w:noProof/>
          </w:rPr>
          <w:t>1.</w:t>
        </w:r>
        <w:r w:rsidR="00DA3A57">
          <w:rPr>
            <w:rFonts w:eastAsiaTheme="minorEastAsia"/>
            <w:noProof/>
            <w:spacing w:val="0"/>
            <w:sz w:val="22"/>
            <w:lang w:eastAsia="en-AU"/>
          </w:rPr>
          <w:tab/>
        </w:r>
        <w:r w:rsidR="00DA3A57" w:rsidRPr="001A55EE">
          <w:rPr>
            <w:rStyle w:val="Hyperlink"/>
            <w:noProof/>
          </w:rPr>
          <w:t>Ensuring religious bodies play by the same rules</w:t>
        </w:r>
        <w:r w:rsidR="00DA3A57">
          <w:rPr>
            <w:noProof/>
            <w:webHidden/>
          </w:rPr>
          <w:tab/>
        </w:r>
        <w:r w:rsidR="00DA3A57">
          <w:rPr>
            <w:noProof/>
            <w:webHidden/>
          </w:rPr>
          <w:fldChar w:fldCharType="begin"/>
        </w:r>
        <w:r w:rsidR="00DA3A57">
          <w:rPr>
            <w:noProof/>
            <w:webHidden/>
          </w:rPr>
          <w:instrText xml:space="preserve"> PAGEREF _Toc94283545 \h </w:instrText>
        </w:r>
        <w:r w:rsidR="00DA3A57">
          <w:rPr>
            <w:noProof/>
            <w:webHidden/>
          </w:rPr>
        </w:r>
        <w:r w:rsidR="00DA3A57">
          <w:rPr>
            <w:noProof/>
            <w:webHidden/>
          </w:rPr>
          <w:fldChar w:fldCharType="separate"/>
        </w:r>
        <w:r w:rsidR="004109B9">
          <w:rPr>
            <w:noProof/>
            <w:webHidden/>
          </w:rPr>
          <w:t>5</w:t>
        </w:r>
        <w:r w:rsidR="00DA3A57">
          <w:rPr>
            <w:noProof/>
            <w:webHidden/>
          </w:rPr>
          <w:fldChar w:fldCharType="end"/>
        </w:r>
      </w:hyperlink>
    </w:p>
    <w:p w14:paraId="542E195B" w14:textId="62E7FDCA" w:rsidR="00DA3A57" w:rsidRDefault="00464323">
      <w:pPr>
        <w:pStyle w:val="TOC2"/>
        <w:tabs>
          <w:tab w:val="left" w:pos="660"/>
          <w:tab w:val="right" w:leader="dot" w:pos="8891"/>
        </w:tabs>
        <w:rPr>
          <w:rFonts w:eastAsiaTheme="minorEastAsia"/>
          <w:noProof/>
          <w:spacing w:val="0"/>
          <w:sz w:val="22"/>
          <w:lang w:eastAsia="en-AU"/>
        </w:rPr>
      </w:pPr>
      <w:hyperlink w:anchor="_Toc94283546" w:history="1">
        <w:r w:rsidR="00DA3A57" w:rsidRPr="001A55EE">
          <w:rPr>
            <w:rStyle w:val="Hyperlink"/>
            <w:noProof/>
          </w:rPr>
          <w:t>(a)</w:t>
        </w:r>
        <w:r w:rsidR="00DA3A57">
          <w:rPr>
            <w:rFonts w:eastAsiaTheme="minorEastAsia"/>
            <w:noProof/>
            <w:spacing w:val="0"/>
            <w:sz w:val="22"/>
            <w:lang w:eastAsia="en-AU"/>
          </w:rPr>
          <w:tab/>
        </w:r>
        <w:r w:rsidR="00DA3A57" w:rsidRPr="001A55EE">
          <w:rPr>
            <w:rStyle w:val="Hyperlink"/>
            <w:noProof/>
          </w:rPr>
          <w:t>Religious exceptions</w:t>
        </w:r>
        <w:r w:rsidR="00DA3A57">
          <w:rPr>
            <w:noProof/>
            <w:webHidden/>
          </w:rPr>
          <w:tab/>
        </w:r>
        <w:r w:rsidR="00DA3A57">
          <w:rPr>
            <w:noProof/>
            <w:webHidden/>
          </w:rPr>
          <w:fldChar w:fldCharType="begin"/>
        </w:r>
        <w:r w:rsidR="00DA3A57">
          <w:rPr>
            <w:noProof/>
            <w:webHidden/>
          </w:rPr>
          <w:instrText xml:space="preserve"> PAGEREF _Toc94283546 \h </w:instrText>
        </w:r>
        <w:r w:rsidR="00DA3A57">
          <w:rPr>
            <w:noProof/>
            <w:webHidden/>
          </w:rPr>
        </w:r>
        <w:r w:rsidR="00DA3A57">
          <w:rPr>
            <w:noProof/>
            <w:webHidden/>
          </w:rPr>
          <w:fldChar w:fldCharType="separate"/>
        </w:r>
        <w:r w:rsidR="004109B9">
          <w:rPr>
            <w:noProof/>
            <w:webHidden/>
          </w:rPr>
          <w:t>5</w:t>
        </w:r>
        <w:r w:rsidR="00DA3A57">
          <w:rPr>
            <w:noProof/>
            <w:webHidden/>
          </w:rPr>
          <w:fldChar w:fldCharType="end"/>
        </w:r>
      </w:hyperlink>
    </w:p>
    <w:p w14:paraId="078F9FB0" w14:textId="160B0D8C" w:rsidR="00DA3A57" w:rsidRDefault="00464323">
      <w:pPr>
        <w:pStyle w:val="TOC2"/>
        <w:tabs>
          <w:tab w:val="left" w:pos="660"/>
          <w:tab w:val="right" w:leader="dot" w:pos="8891"/>
        </w:tabs>
        <w:rPr>
          <w:rFonts w:eastAsiaTheme="minorEastAsia"/>
          <w:noProof/>
          <w:spacing w:val="0"/>
          <w:sz w:val="22"/>
          <w:lang w:eastAsia="en-AU"/>
        </w:rPr>
      </w:pPr>
      <w:hyperlink w:anchor="_Toc94283547" w:history="1">
        <w:r w:rsidR="00DA3A57" w:rsidRPr="001A55EE">
          <w:rPr>
            <w:rStyle w:val="Hyperlink"/>
            <w:noProof/>
          </w:rPr>
          <w:t>(b)</w:t>
        </w:r>
        <w:r w:rsidR="00DA3A57">
          <w:rPr>
            <w:rFonts w:eastAsiaTheme="minorEastAsia"/>
            <w:noProof/>
            <w:spacing w:val="0"/>
            <w:sz w:val="22"/>
            <w:lang w:eastAsia="en-AU"/>
          </w:rPr>
          <w:tab/>
        </w:r>
        <w:r w:rsidR="00DA3A57" w:rsidRPr="001A55EE">
          <w:rPr>
            <w:rStyle w:val="Hyperlink"/>
            <w:noProof/>
          </w:rPr>
          <w:t>Towards a human rights conforming approach</w:t>
        </w:r>
        <w:r w:rsidR="00DA3A57">
          <w:rPr>
            <w:noProof/>
            <w:webHidden/>
          </w:rPr>
          <w:tab/>
        </w:r>
        <w:r w:rsidR="00DA3A57">
          <w:rPr>
            <w:noProof/>
            <w:webHidden/>
          </w:rPr>
          <w:fldChar w:fldCharType="begin"/>
        </w:r>
        <w:r w:rsidR="00DA3A57">
          <w:rPr>
            <w:noProof/>
            <w:webHidden/>
          </w:rPr>
          <w:instrText xml:space="preserve"> PAGEREF _Toc94283547 \h </w:instrText>
        </w:r>
        <w:r w:rsidR="00DA3A57">
          <w:rPr>
            <w:noProof/>
            <w:webHidden/>
          </w:rPr>
        </w:r>
        <w:r w:rsidR="00DA3A57">
          <w:rPr>
            <w:noProof/>
            <w:webHidden/>
          </w:rPr>
          <w:fldChar w:fldCharType="separate"/>
        </w:r>
        <w:r w:rsidR="004109B9">
          <w:rPr>
            <w:noProof/>
            <w:webHidden/>
          </w:rPr>
          <w:t>6</w:t>
        </w:r>
        <w:r w:rsidR="00DA3A57">
          <w:rPr>
            <w:noProof/>
            <w:webHidden/>
          </w:rPr>
          <w:fldChar w:fldCharType="end"/>
        </w:r>
      </w:hyperlink>
    </w:p>
    <w:p w14:paraId="2BEDDE6F" w14:textId="22FF826E" w:rsidR="00DA3A57" w:rsidRDefault="00464323">
      <w:pPr>
        <w:pStyle w:val="TOC2"/>
        <w:tabs>
          <w:tab w:val="left" w:pos="660"/>
          <w:tab w:val="right" w:leader="dot" w:pos="8891"/>
        </w:tabs>
        <w:rPr>
          <w:rFonts w:eastAsiaTheme="minorEastAsia"/>
          <w:noProof/>
          <w:spacing w:val="0"/>
          <w:sz w:val="22"/>
          <w:lang w:eastAsia="en-AU"/>
        </w:rPr>
      </w:pPr>
      <w:hyperlink w:anchor="_Toc94283548" w:history="1">
        <w:r w:rsidR="00DA3A57" w:rsidRPr="001A55EE">
          <w:rPr>
            <w:rStyle w:val="Hyperlink"/>
            <w:noProof/>
          </w:rPr>
          <w:t>(c)</w:t>
        </w:r>
        <w:r w:rsidR="00DA3A57">
          <w:rPr>
            <w:rFonts w:eastAsiaTheme="minorEastAsia"/>
            <w:noProof/>
            <w:spacing w:val="0"/>
            <w:sz w:val="22"/>
            <w:lang w:eastAsia="en-AU"/>
          </w:rPr>
          <w:tab/>
        </w:r>
        <w:r w:rsidR="00DA3A57" w:rsidRPr="001A55EE">
          <w:rPr>
            <w:rStyle w:val="Hyperlink"/>
            <w:noProof/>
          </w:rPr>
          <w:t>A ‘reasonable and proportionate in all the circumstances’ test</w:t>
        </w:r>
        <w:r w:rsidR="00DA3A57">
          <w:rPr>
            <w:noProof/>
            <w:webHidden/>
          </w:rPr>
          <w:tab/>
        </w:r>
        <w:r w:rsidR="00DA3A57">
          <w:rPr>
            <w:noProof/>
            <w:webHidden/>
          </w:rPr>
          <w:fldChar w:fldCharType="begin"/>
        </w:r>
        <w:r w:rsidR="00DA3A57">
          <w:rPr>
            <w:noProof/>
            <w:webHidden/>
          </w:rPr>
          <w:instrText xml:space="preserve"> PAGEREF _Toc94283548 \h </w:instrText>
        </w:r>
        <w:r w:rsidR="00DA3A57">
          <w:rPr>
            <w:noProof/>
            <w:webHidden/>
          </w:rPr>
        </w:r>
        <w:r w:rsidR="00DA3A57">
          <w:rPr>
            <w:noProof/>
            <w:webHidden/>
          </w:rPr>
          <w:fldChar w:fldCharType="separate"/>
        </w:r>
        <w:r w:rsidR="004109B9">
          <w:rPr>
            <w:noProof/>
            <w:webHidden/>
          </w:rPr>
          <w:t>7</w:t>
        </w:r>
        <w:r w:rsidR="00DA3A57">
          <w:rPr>
            <w:noProof/>
            <w:webHidden/>
          </w:rPr>
          <w:fldChar w:fldCharType="end"/>
        </w:r>
      </w:hyperlink>
    </w:p>
    <w:p w14:paraId="5F7B0457" w14:textId="6822DE82" w:rsidR="00DA3A57" w:rsidRDefault="00464323">
      <w:pPr>
        <w:pStyle w:val="TOC2"/>
        <w:tabs>
          <w:tab w:val="left" w:pos="660"/>
          <w:tab w:val="right" w:leader="dot" w:pos="8891"/>
        </w:tabs>
        <w:rPr>
          <w:rFonts w:eastAsiaTheme="minorEastAsia"/>
          <w:noProof/>
          <w:spacing w:val="0"/>
          <w:sz w:val="22"/>
          <w:lang w:eastAsia="en-AU"/>
        </w:rPr>
      </w:pPr>
      <w:hyperlink w:anchor="_Toc94283549" w:history="1">
        <w:r w:rsidR="00DA3A57" w:rsidRPr="001A55EE">
          <w:rPr>
            <w:rStyle w:val="Hyperlink"/>
            <w:noProof/>
          </w:rPr>
          <w:t>(d)</w:t>
        </w:r>
        <w:r w:rsidR="00DA3A57">
          <w:rPr>
            <w:rFonts w:eastAsiaTheme="minorEastAsia"/>
            <w:noProof/>
            <w:spacing w:val="0"/>
            <w:sz w:val="22"/>
            <w:lang w:eastAsia="en-AU"/>
          </w:rPr>
          <w:tab/>
        </w:r>
        <w:r w:rsidR="00DA3A57" w:rsidRPr="001A55EE">
          <w:rPr>
            <w:rStyle w:val="Hyperlink"/>
            <w:noProof/>
          </w:rPr>
          <w:t>Additional comments on specific questions</w:t>
        </w:r>
        <w:r w:rsidR="00DA3A57">
          <w:rPr>
            <w:noProof/>
            <w:webHidden/>
          </w:rPr>
          <w:tab/>
        </w:r>
        <w:r w:rsidR="00DA3A57">
          <w:rPr>
            <w:noProof/>
            <w:webHidden/>
          </w:rPr>
          <w:fldChar w:fldCharType="begin"/>
        </w:r>
        <w:r w:rsidR="00DA3A57">
          <w:rPr>
            <w:noProof/>
            <w:webHidden/>
          </w:rPr>
          <w:instrText xml:space="preserve"> PAGEREF _Toc94283549 \h </w:instrText>
        </w:r>
        <w:r w:rsidR="00DA3A57">
          <w:rPr>
            <w:noProof/>
            <w:webHidden/>
          </w:rPr>
        </w:r>
        <w:r w:rsidR="00DA3A57">
          <w:rPr>
            <w:noProof/>
            <w:webHidden/>
          </w:rPr>
          <w:fldChar w:fldCharType="separate"/>
        </w:r>
        <w:r w:rsidR="004109B9">
          <w:rPr>
            <w:noProof/>
            <w:webHidden/>
          </w:rPr>
          <w:t>8</w:t>
        </w:r>
        <w:r w:rsidR="00DA3A57">
          <w:rPr>
            <w:noProof/>
            <w:webHidden/>
          </w:rPr>
          <w:fldChar w:fldCharType="end"/>
        </w:r>
      </w:hyperlink>
    </w:p>
    <w:p w14:paraId="0D626A68" w14:textId="69BD5E4A" w:rsidR="00DA3A57" w:rsidRPr="00DA3A57" w:rsidRDefault="00464323">
      <w:pPr>
        <w:pStyle w:val="TOC1"/>
        <w:tabs>
          <w:tab w:val="right" w:leader="dot" w:pos="8891"/>
        </w:tabs>
        <w:rPr>
          <w:rFonts w:eastAsiaTheme="minorEastAsia"/>
          <w:b/>
          <w:bCs/>
          <w:noProof/>
          <w:spacing w:val="0"/>
          <w:sz w:val="22"/>
          <w:lang w:eastAsia="en-AU"/>
        </w:rPr>
      </w:pPr>
      <w:hyperlink w:anchor="_Toc94283550" w:history="1">
        <w:r w:rsidR="00DA3A57" w:rsidRPr="00DA3A57">
          <w:rPr>
            <w:rStyle w:val="Hyperlink"/>
            <w:b/>
            <w:bCs/>
            <w:noProof/>
          </w:rPr>
          <w:t>Best practice reforms to the Act</w:t>
        </w:r>
        <w:r w:rsidR="00DA3A57" w:rsidRPr="00DA3A57">
          <w:rPr>
            <w:b/>
            <w:bCs/>
            <w:noProof/>
            <w:webHidden/>
          </w:rPr>
          <w:tab/>
        </w:r>
        <w:r w:rsidR="00DA3A57" w:rsidRPr="00DA3A57">
          <w:rPr>
            <w:b/>
            <w:bCs/>
            <w:noProof/>
            <w:webHidden/>
          </w:rPr>
          <w:fldChar w:fldCharType="begin"/>
        </w:r>
        <w:r w:rsidR="00DA3A57" w:rsidRPr="00DA3A57">
          <w:rPr>
            <w:b/>
            <w:bCs/>
            <w:noProof/>
            <w:webHidden/>
          </w:rPr>
          <w:instrText xml:space="preserve"> PAGEREF _Toc94283550 \h </w:instrText>
        </w:r>
        <w:r w:rsidR="00DA3A57" w:rsidRPr="00DA3A57">
          <w:rPr>
            <w:b/>
            <w:bCs/>
            <w:noProof/>
            <w:webHidden/>
          </w:rPr>
        </w:r>
        <w:r w:rsidR="00DA3A57" w:rsidRPr="00DA3A57">
          <w:rPr>
            <w:b/>
            <w:bCs/>
            <w:noProof/>
            <w:webHidden/>
          </w:rPr>
          <w:fldChar w:fldCharType="separate"/>
        </w:r>
        <w:r w:rsidR="004109B9">
          <w:rPr>
            <w:b/>
            <w:bCs/>
            <w:noProof/>
            <w:webHidden/>
          </w:rPr>
          <w:t>10</w:t>
        </w:r>
        <w:r w:rsidR="00DA3A57" w:rsidRPr="00DA3A57">
          <w:rPr>
            <w:b/>
            <w:bCs/>
            <w:noProof/>
            <w:webHidden/>
          </w:rPr>
          <w:fldChar w:fldCharType="end"/>
        </w:r>
      </w:hyperlink>
    </w:p>
    <w:p w14:paraId="1398C15F" w14:textId="786133ED" w:rsidR="00DA3A57" w:rsidRDefault="00464323">
      <w:pPr>
        <w:pStyle w:val="TOC1"/>
        <w:tabs>
          <w:tab w:val="left" w:pos="440"/>
          <w:tab w:val="right" w:leader="dot" w:pos="8891"/>
        </w:tabs>
        <w:rPr>
          <w:rFonts w:eastAsiaTheme="minorEastAsia"/>
          <w:noProof/>
          <w:spacing w:val="0"/>
          <w:sz w:val="22"/>
          <w:lang w:eastAsia="en-AU"/>
        </w:rPr>
      </w:pPr>
      <w:hyperlink w:anchor="_Toc94283551" w:history="1">
        <w:r w:rsidR="00DA3A57" w:rsidRPr="001A55EE">
          <w:rPr>
            <w:rStyle w:val="Hyperlink"/>
            <w:noProof/>
          </w:rPr>
          <w:t>2.</w:t>
        </w:r>
        <w:r w:rsidR="00DA3A57">
          <w:rPr>
            <w:rFonts w:eastAsiaTheme="minorEastAsia"/>
            <w:noProof/>
            <w:spacing w:val="0"/>
            <w:sz w:val="22"/>
            <w:lang w:eastAsia="en-AU"/>
          </w:rPr>
          <w:tab/>
        </w:r>
        <w:r w:rsidR="00DA3A57" w:rsidRPr="001A55EE">
          <w:rPr>
            <w:rStyle w:val="Hyperlink"/>
            <w:noProof/>
          </w:rPr>
          <w:t>Improving the definition of discrimination</w:t>
        </w:r>
        <w:r w:rsidR="00DA3A57">
          <w:rPr>
            <w:noProof/>
            <w:webHidden/>
          </w:rPr>
          <w:tab/>
        </w:r>
        <w:r w:rsidR="00DA3A57">
          <w:rPr>
            <w:noProof/>
            <w:webHidden/>
          </w:rPr>
          <w:fldChar w:fldCharType="begin"/>
        </w:r>
        <w:r w:rsidR="00DA3A57">
          <w:rPr>
            <w:noProof/>
            <w:webHidden/>
          </w:rPr>
          <w:instrText xml:space="preserve"> PAGEREF _Toc94283551 \h </w:instrText>
        </w:r>
        <w:r w:rsidR="00DA3A57">
          <w:rPr>
            <w:noProof/>
            <w:webHidden/>
          </w:rPr>
        </w:r>
        <w:r w:rsidR="00DA3A57">
          <w:rPr>
            <w:noProof/>
            <w:webHidden/>
          </w:rPr>
          <w:fldChar w:fldCharType="separate"/>
        </w:r>
        <w:r w:rsidR="004109B9">
          <w:rPr>
            <w:noProof/>
            <w:webHidden/>
          </w:rPr>
          <w:t>10</w:t>
        </w:r>
        <w:r w:rsidR="00DA3A57">
          <w:rPr>
            <w:noProof/>
            <w:webHidden/>
          </w:rPr>
          <w:fldChar w:fldCharType="end"/>
        </w:r>
      </w:hyperlink>
    </w:p>
    <w:p w14:paraId="663F05B8" w14:textId="00E6F624" w:rsidR="00DA3A57" w:rsidRDefault="00464323">
      <w:pPr>
        <w:pStyle w:val="TOC2"/>
        <w:tabs>
          <w:tab w:val="left" w:pos="660"/>
          <w:tab w:val="right" w:leader="dot" w:pos="8891"/>
        </w:tabs>
        <w:rPr>
          <w:rFonts w:eastAsiaTheme="minorEastAsia"/>
          <w:noProof/>
          <w:spacing w:val="0"/>
          <w:sz w:val="22"/>
          <w:lang w:eastAsia="en-AU"/>
        </w:rPr>
      </w:pPr>
      <w:hyperlink w:anchor="_Toc94283552" w:history="1">
        <w:r w:rsidR="00DA3A57" w:rsidRPr="001A55EE">
          <w:rPr>
            <w:rStyle w:val="Hyperlink"/>
            <w:noProof/>
          </w:rPr>
          <w:t>(a)</w:t>
        </w:r>
        <w:r w:rsidR="00DA3A57">
          <w:rPr>
            <w:rFonts w:eastAsiaTheme="minorEastAsia"/>
            <w:noProof/>
            <w:spacing w:val="0"/>
            <w:sz w:val="22"/>
            <w:lang w:eastAsia="en-AU"/>
          </w:rPr>
          <w:tab/>
        </w:r>
        <w:r w:rsidR="00DA3A57" w:rsidRPr="001A55EE">
          <w:rPr>
            <w:rStyle w:val="Hyperlink"/>
            <w:noProof/>
          </w:rPr>
          <w:t>Harassment is a form of discrimination</w:t>
        </w:r>
        <w:r w:rsidR="00DA3A57">
          <w:rPr>
            <w:noProof/>
            <w:webHidden/>
          </w:rPr>
          <w:tab/>
        </w:r>
        <w:r w:rsidR="00DA3A57">
          <w:rPr>
            <w:noProof/>
            <w:webHidden/>
          </w:rPr>
          <w:fldChar w:fldCharType="begin"/>
        </w:r>
        <w:r w:rsidR="00DA3A57">
          <w:rPr>
            <w:noProof/>
            <w:webHidden/>
          </w:rPr>
          <w:instrText xml:space="preserve"> PAGEREF _Toc94283552 \h </w:instrText>
        </w:r>
        <w:r w:rsidR="00DA3A57">
          <w:rPr>
            <w:noProof/>
            <w:webHidden/>
          </w:rPr>
        </w:r>
        <w:r w:rsidR="00DA3A57">
          <w:rPr>
            <w:noProof/>
            <w:webHidden/>
          </w:rPr>
          <w:fldChar w:fldCharType="separate"/>
        </w:r>
        <w:r w:rsidR="004109B9">
          <w:rPr>
            <w:noProof/>
            <w:webHidden/>
          </w:rPr>
          <w:t>10</w:t>
        </w:r>
        <w:r w:rsidR="00DA3A57">
          <w:rPr>
            <w:noProof/>
            <w:webHidden/>
          </w:rPr>
          <w:fldChar w:fldCharType="end"/>
        </w:r>
      </w:hyperlink>
    </w:p>
    <w:p w14:paraId="1ACB4421" w14:textId="62E69B02" w:rsidR="00DA3A57" w:rsidRDefault="00464323">
      <w:pPr>
        <w:pStyle w:val="TOC2"/>
        <w:tabs>
          <w:tab w:val="left" w:pos="660"/>
          <w:tab w:val="right" w:leader="dot" w:pos="8891"/>
        </w:tabs>
        <w:rPr>
          <w:rFonts w:eastAsiaTheme="minorEastAsia"/>
          <w:noProof/>
          <w:spacing w:val="0"/>
          <w:sz w:val="22"/>
          <w:lang w:eastAsia="en-AU"/>
        </w:rPr>
      </w:pPr>
      <w:hyperlink w:anchor="_Toc94283553" w:history="1">
        <w:r w:rsidR="00DA3A57" w:rsidRPr="001A55EE">
          <w:rPr>
            <w:rStyle w:val="Hyperlink"/>
            <w:noProof/>
          </w:rPr>
          <w:t>(b)</w:t>
        </w:r>
        <w:r w:rsidR="00DA3A57">
          <w:rPr>
            <w:rFonts w:eastAsiaTheme="minorEastAsia"/>
            <w:noProof/>
            <w:spacing w:val="0"/>
            <w:sz w:val="22"/>
            <w:lang w:eastAsia="en-AU"/>
          </w:rPr>
          <w:tab/>
        </w:r>
        <w:r w:rsidR="00DA3A57" w:rsidRPr="001A55EE">
          <w:rPr>
            <w:rStyle w:val="Hyperlink"/>
            <w:noProof/>
          </w:rPr>
          <w:t>Expanding the definition of ‘indirect discrimination’</w:t>
        </w:r>
        <w:r w:rsidR="00DA3A57">
          <w:rPr>
            <w:noProof/>
            <w:webHidden/>
          </w:rPr>
          <w:tab/>
        </w:r>
        <w:r w:rsidR="00DA3A57">
          <w:rPr>
            <w:noProof/>
            <w:webHidden/>
          </w:rPr>
          <w:fldChar w:fldCharType="begin"/>
        </w:r>
        <w:r w:rsidR="00DA3A57">
          <w:rPr>
            <w:noProof/>
            <w:webHidden/>
          </w:rPr>
          <w:instrText xml:space="preserve"> PAGEREF _Toc94283553 \h </w:instrText>
        </w:r>
        <w:r w:rsidR="00DA3A57">
          <w:rPr>
            <w:noProof/>
            <w:webHidden/>
          </w:rPr>
        </w:r>
        <w:r w:rsidR="00DA3A57">
          <w:rPr>
            <w:noProof/>
            <w:webHidden/>
          </w:rPr>
          <w:fldChar w:fldCharType="separate"/>
        </w:r>
        <w:r w:rsidR="004109B9">
          <w:rPr>
            <w:noProof/>
            <w:webHidden/>
          </w:rPr>
          <w:t>10</w:t>
        </w:r>
        <w:r w:rsidR="00DA3A57">
          <w:rPr>
            <w:noProof/>
            <w:webHidden/>
          </w:rPr>
          <w:fldChar w:fldCharType="end"/>
        </w:r>
      </w:hyperlink>
    </w:p>
    <w:p w14:paraId="03016921" w14:textId="715C32B4" w:rsidR="00DA3A57" w:rsidRDefault="00464323">
      <w:pPr>
        <w:pStyle w:val="TOC2"/>
        <w:tabs>
          <w:tab w:val="left" w:pos="660"/>
          <w:tab w:val="right" w:leader="dot" w:pos="8891"/>
        </w:tabs>
        <w:rPr>
          <w:rFonts w:eastAsiaTheme="minorEastAsia"/>
          <w:noProof/>
          <w:spacing w:val="0"/>
          <w:sz w:val="22"/>
          <w:lang w:eastAsia="en-AU"/>
        </w:rPr>
      </w:pPr>
      <w:hyperlink w:anchor="_Toc94283554" w:history="1">
        <w:r w:rsidR="00DA3A57" w:rsidRPr="001A55EE">
          <w:rPr>
            <w:rStyle w:val="Hyperlink"/>
            <w:noProof/>
          </w:rPr>
          <w:t>(c)</w:t>
        </w:r>
        <w:r w:rsidR="00DA3A57">
          <w:rPr>
            <w:rFonts w:eastAsiaTheme="minorEastAsia"/>
            <w:noProof/>
            <w:spacing w:val="0"/>
            <w:sz w:val="22"/>
            <w:lang w:eastAsia="en-AU"/>
          </w:rPr>
          <w:tab/>
        </w:r>
        <w:r w:rsidR="00DA3A57" w:rsidRPr="001A55EE">
          <w:rPr>
            <w:rStyle w:val="Hyperlink"/>
            <w:noProof/>
          </w:rPr>
          <w:t>A single justification defence?</w:t>
        </w:r>
        <w:r w:rsidR="00DA3A57">
          <w:rPr>
            <w:noProof/>
            <w:webHidden/>
          </w:rPr>
          <w:tab/>
        </w:r>
        <w:r w:rsidR="00DA3A57">
          <w:rPr>
            <w:noProof/>
            <w:webHidden/>
          </w:rPr>
          <w:fldChar w:fldCharType="begin"/>
        </w:r>
        <w:r w:rsidR="00DA3A57">
          <w:rPr>
            <w:noProof/>
            <w:webHidden/>
          </w:rPr>
          <w:instrText xml:space="preserve"> PAGEREF _Toc94283554 \h </w:instrText>
        </w:r>
        <w:r w:rsidR="00DA3A57">
          <w:rPr>
            <w:noProof/>
            <w:webHidden/>
          </w:rPr>
        </w:r>
        <w:r w:rsidR="00DA3A57">
          <w:rPr>
            <w:noProof/>
            <w:webHidden/>
          </w:rPr>
          <w:fldChar w:fldCharType="separate"/>
        </w:r>
        <w:r w:rsidR="004109B9">
          <w:rPr>
            <w:noProof/>
            <w:webHidden/>
          </w:rPr>
          <w:t>11</w:t>
        </w:r>
        <w:r w:rsidR="00DA3A57">
          <w:rPr>
            <w:noProof/>
            <w:webHidden/>
          </w:rPr>
          <w:fldChar w:fldCharType="end"/>
        </w:r>
      </w:hyperlink>
    </w:p>
    <w:p w14:paraId="682AC0DF" w14:textId="471D5947" w:rsidR="00DA3A57" w:rsidRDefault="00464323">
      <w:pPr>
        <w:pStyle w:val="TOC1"/>
        <w:tabs>
          <w:tab w:val="left" w:pos="440"/>
          <w:tab w:val="right" w:leader="dot" w:pos="8891"/>
        </w:tabs>
        <w:rPr>
          <w:rFonts w:eastAsiaTheme="minorEastAsia"/>
          <w:noProof/>
          <w:spacing w:val="0"/>
          <w:sz w:val="22"/>
          <w:lang w:eastAsia="en-AU"/>
        </w:rPr>
      </w:pPr>
      <w:hyperlink w:anchor="_Toc94283555" w:history="1">
        <w:r w:rsidR="00DA3A57" w:rsidRPr="001A55EE">
          <w:rPr>
            <w:rStyle w:val="Hyperlink"/>
            <w:noProof/>
          </w:rPr>
          <w:t>3.</w:t>
        </w:r>
        <w:r w:rsidR="00DA3A57">
          <w:rPr>
            <w:rFonts w:eastAsiaTheme="minorEastAsia"/>
            <w:noProof/>
            <w:spacing w:val="0"/>
            <w:sz w:val="22"/>
            <w:lang w:eastAsia="en-AU"/>
          </w:rPr>
          <w:tab/>
        </w:r>
        <w:r w:rsidR="00DA3A57" w:rsidRPr="001A55EE">
          <w:rPr>
            <w:rStyle w:val="Hyperlink"/>
            <w:noProof/>
          </w:rPr>
          <w:t>Positive duties</w:t>
        </w:r>
        <w:r w:rsidR="00DA3A57">
          <w:rPr>
            <w:noProof/>
            <w:webHidden/>
          </w:rPr>
          <w:tab/>
        </w:r>
        <w:r w:rsidR="00DA3A57">
          <w:rPr>
            <w:noProof/>
            <w:webHidden/>
          </w:rPr>
          <w:fldChar w:fldCharType="begin"/>
        </w:r>
        <w:r w:rsidR="00DA3A57">
          <w:rPr>
            <w:noProof/>
            <w:webHidden/>
          </w:rPr>
          <w:instrText xml:space="preserve"> PAGEREF _Toc94283555 \h </w:instrText>
        </w:r>
        <w:r w:rsidR="00DA3A57">
          <w:rPr>
            <w:noProof/>
            <w:webHidden/>
          </w:rPr>
        </w:r>
        <w:r w:rsidR="00DA3A57">
          <w:rPr>
            <w:noProof/>
            <w:webHidden/>
          </w:rPr>
          <w:fldChar w:fldCharType="separate"/>
        </w:r>
        <w:r w:rsidR="004109B9">
          <w:rPr>
            <w:noProof/>
            <w:webHidden/>
          </w:rPr>
          <w:t>12</w:t>
        </w:r>
        <w:r w:rsidR="00DA3A57">
          <w:rPr>
            <w:noProof/>
            <w:webHidden/>
          </w:rPr>
          <w:fldChar w:fldCharType="end"/>
        </w:r>
      </w:hyperlink>
    </w:p>
    <w:p w14:paraId="4B361975" w14:textId="567168BB" w:rsidR="00DA3A57" w:rsidRDefault="00464323">
      <w:pPr>
        <w:pStyle w:val="TOC1"/>
        <w:tabs>
          <w:tab w:val="left" w:pos="440"/>
          <w:tab w:val="right" w:leader="dot" w:pos="8891"/>
        </w:tabs>
        <w:rPr>
          <w:rFonts w:eastAsiaTheme="minorEastAsia"/>
          <w:noProof/>
          <w:spacing w:val="0"/>
          <w:sz w:val="22"/>
          <w:lang w:eastAsia="en-AU"/>
        </w:rPr>
      </w:pPr>
      <w:hyperlink w:anchor="_Toc94283556" w:history="1">
        <w:r w:rsidR="00DA3A57" w:rsidRPr="001A55EE">
          <w:rPr>
            <w:rStyle w:val="Hyperlink"/>
            <w:noProof/>
          </w:rPr>
          <w:t>4.</w:t>
        </w:r>
        <w:r w:rsidR="00DA3A57">
          <w:rPr>
            <w:rFonts w:eastAsiaTheme="minorEastAsia"/>
            <w:noProof/>
            <w:spacing w:val="0"/>
            <w:sz w:val="22"/>
            <w:lang w:eastAsia="en-AU"/>
          </w:rPr>
          <w:tab/>
        </w:r>
        <w:r w:rsidR="00DA3A57" w:rsidRPr="001A55EE">
          <w:rPr>
            <w:rStyle w:val="Hyperlink"/>
            <w:noProof/>
          </w:rPr>
          <w:t>Ending hate-based conduct</w:t>
        </w:r>
        <w:r w:rsidR="00DA3A57">
          <w:rPr>
            <w:noProof/>
            <w:webHidden/>
          </w:rPr>
          <w:tab/>
        </w:r>
        <w:r w:rsidR="00DA3A57">
          <w:rPr>
            <w:noProof/>
            <w:webHidden/>
          </w:rPr>
          <w:fldChar w:fldCharType="begin"/>
        </w:r>
        <w:r w:rsidR="00DA3A57">
          <w:rPr>
            <w:noProof/>
            <w:webHidden/>
          </w:rPr>
          <w:instrText xml:space="preserve"> PAGEREF _Toc94283556 \h </w:instrText>
        </w:r>
        <w:r w:rsidR="00DA3A57">
          <w:rPr>
            <w:noProof/>
            <w:webHidden/>
          </w:rPr>
        </w:r>
        <w:r w:rsidR="00DA3A57">
          <w:rPr>
            <w:noProof/>
            <w:webHidden/>
          </w:rPr>
          <w:fldChar w:fldCharType="separate"/>
        </w:r>
        <w:r w:rsidR="004109B9">
          <w:rPr>
            <w:noProof/>
            <w:webHidden/>
          </w:rPr>
          <w:t>14</w:t>
        </w:r>
        <w:r w:rsidR="00DA3A57">
          <w:rPr>
            <w:noProof/>
            <w:webHidden/>
          </w:rPr>
          <w:fldChar w:fldCharType="end"/>
        </w:r>
      </w:hyperlink>
    </w:p>
    <w:p w14:paraId="757B844D" w14:textId="3BC4DF08" w:rsidR="00DA3A57" w:rsidRDefault="00464323">
      <w:pPr>
        <w:pStyle w:val="TOC2"/>
        <w:tabs>
          <w:tab w:val="left" w:pos="660"/>
          <w:tab w:val="right" w:leader="dot" w:pos="8891"/>
        </w:tabs>
        <w:rPr>
          <w:rFonts w:eastAsiaTheme="minorEastAsia"/>
          <w:noProof/>
          <w:spacing w:val="0"/>
          <w:sz w:val="22"/>
          <w:lang w:eastAsia="en-AU"/>
        </w:rPr>
      </w:pPr>
      <w:hyperlink w:anchor="_Toc94283557" w:history="1">
        <w:r w:rsidR="00DA3A57" w:rsidRPr="001A55EE">
          <w:rPr>
            <w:rStyle w:val="Hyperlink"/>
            <w:noProof/>
          </w:rPr>
          <w:t>(a)</w:t>
        </w:r>
        <w:r w:rsidR="00DA3A57">
          <w:rPr>
            <w:rFonts w:eastAsiaTheme="minorEastAsia"/>
            <w:noProof/>
            <w:spacing w:val="0"/>
            <w:sz w:val="22"/>
            <w:lang w:eastAsia="en-AU"/>
          </w:rPr>
          <w:tab/>
        </w:r>
        <w:r w:rsidR="00DA3A57" w:rsidRPr="001A55EE">
          <w:rPr>
            <w:rStyle w:val="Hyperlink"/>
            <w:noProof/>
          </w:rPr>
          <w:t>The need for effective anti-hate laws covering LGBTIQ+ people</w:t>
        </w:r>
        <w:r w:rsidR="00DA3A57">
          <w:rPr>
            <w:noProof/>
            <w:webHidden/>
          </w:rPr>
          <w:tab/>
        </w:r>
        <w:r w:rsidR="00DA3A57">
          <w:rPr>
            <w:noProof/>
            <w:webHidden/>
          </w:rPr>
          <w:fldChar w:fldCharType="begin"/>
        </w:r>
        <w:r w:rsidR="00DA3A57">
          <w:rPr>
            <w:noProof/>
            <w:webHidden/>
          </w:rPr>
          <w:instrText xml:space="preserve"> PAGEREF _Toc94283557 \h </w:instrText>
        </w:r>
        <w:r w:rsidR="00DA3A57">
          <w:rPr>
            <w:noProof/>
            <w:webHidden/>
          </w:rPr>
        </w:r>
        <w:r w:rsidR="00DA3A57">
          <w:rPr>
            <w:noProof/>
            <w:webHidden/>
          </w:rPr>
          <w:fldChar w:fldCharType="separate"/>
        </w:r>
        <w:r w:rsidR="004109B9">
          <w:rPr>
            <w:noProof/>
            <w:webHidden/>
          </w:rPr>
          <w:t>14</w:t>
        </w:r>
        <w:r w:rsidR="00DA3A57">
          <w:rPr>
            <w:noProof/>
            <w:webHidden/>
          </w:rPr>
          <w:fldChar w:fldCharType="end"/>
        </w:r>
      </w:hyperlink>
    </w:p>
    <w:p w14:paraId="1E8F8645" w14:textId="2C7B6179" w:rsidR="00DA3A57" w:rsidRDefault="00464323">
      <w:pPr>
        <w:pStyle w:val="TOC2"/>
        <w:tabs>
          <w:tab w:val="left" w:pos="660"/>
          <w:tab w:val="right" w:leader="dot" w:pos="8891"/>
        </w:tabs>
        <w:rPr>
          <w:rFonts w:eastAsiaTheme="minorEastAsia"/>
          <w:noProof/>
          <w:spacing w:val="0"/>
          <w:sz w:val="22"/>
          <w:lang w:eastAsia="en-AU"/>
        </w:rPr>
      </w:pPr>
      <w:hyperlink w:anchor="_Toc94283558" w:history="1">
        <w:r w:rsidR="00DA3A57" w:rsidRPr="001A55EE">
          <w:rPr>
            <w:rStyle w:val="Hyperlink"/>
            <w:noProof/>
          </w:rPr>
          <w:t>(b)</w:t>
        </w:r>
        <w:r w:rsidR="00DA3A57">
          <w:rPr>
            <w:rFonts w:eastAsiaTheme="minorEastAsia"/>
            <w:noProof/>
            <w:spacing w:val="0"/>
            <w:sz w:val="22"/>
            <w:lang w:eastAsia="en-AU"/>
          </w:rPr>
          <w:tab/>
        </w:r>
        <w:r w:rsidR="00DA3A57" w:rsidRPr="001A55EE">
          <w:rPr>
            <w:rStyle w:val="Hyperlink"/>
            <w:noProof/>
          </w:rPr>
          <w:t>The way forward on hate-based conduct</w:t>
        </w:r>
        <w:r w:rsidR="00DA3A57">
          <w:rPr>
            <w:noProof/>
            <w:webHidden/>
          </w:rPr>
          <w:tab/>
        </w:r>
        <w:r w:rsidR="00DA3A57">
          <w:rPr>
            <w:noProof/>
            <w:webHidden/>
          </w:rPr>
          <w:fldChar w:fldCharType="begin"/>
        </w:r>
        <w:r w:rsidR="00DA3A57">
          <w:rPr>
            <w:noProof/>
            <w:webHidden/>
          </w:rPr>
          <w:instrText xml:space="preserve"> PAGEREF _Toc94283558 \h </w:instrText>
        </w:r>
        <w:r w:rsidR="00DA3A57">
          <w:rPr>
            <w:noProof/>
            <w:webHidden/>
          </w:rPr>
        </w:r>
        <w:r w:rsidR="00DA3A57">
          <w:rPr>
            <w:noProof/>
            <w:webHidden/>
          </w:rPr>
          <w:fldChar w:fldCharType="separate"/>
        </w:r>
        <w:r w:rsidR="004109B9">
          <w:rPr>
            <w:noProof/>
            <w:webHidden/>
          </w:rPr>
          <w:t>16</w:t>
        </w:r>
        <w:r w:rsidR="00DA3A57">
          <w:rPr>
            <w:noProof/>
            <w:webHidden/>
          </w:rPr>
          <w:fldChar w:fldCharType="end"/>
        </w:r>
      </w:hyperlink>
    </w:p>
    <w:p w14:paraId="031EC822" w14:textId="703F0662" w:rsidR="00DA3A57" w:rsidRDefault="00464323">
      <w:pPr>
        <w:pStyle w:val="TOC1"/>
        <w:tabs>
          <w:tab w:val="left" w:pos="440"/>
          <w:tab w:val="right" w:leader="dot" w:pos="8891"/>
        </w:tabs>
        <w:rPr>
          <w:rFonts w:eastAsiaTheme="minorEastAsia"/>
          <w:noProof/>
          <w:spacing w:val="0"/>
          <w:sz w:val="22"/>
          <w:lang w:eastAsia="en-AU"/>
        </w:rPr>
      </w:pPr>
      <w:hyperlink w:anchor="_Toc94283559" w:history="1">
        <w:r w:rsidR="00DA3A57" w:rsidRPr="001A55EE">
          <w:rPr>
            <w:rStyle w:val="Hyperlink"/>
            <w:noProof/>
          </w:rPr>
          <w:t>5.</w:t>
        </w:r>
        <w:r w:rsidR="00DA3A57">
          <w:rPr>
            <w:rFonts w:eastAsiaTheme="minorEastAsia"/>
            <w:noProof/>
            <w:spacing w:val="0"/>
            <w:sz w:val="22"/>
            <w:lang w:eastAsia="en-AU"/>
          </w:rPr>
          <w:tab/>
        </w:r>
        <w:r w:rsidR="00DA3A57" w:rsidRPr="001A55EE">
          <w:rPr>
            <w:rStyle w:val="Hyperlink"/>
            <w:noProof/>
          </w:rPr>
          <w:t>An ‘equality before the law’ protection</w:t>
        </w:r>
        <w:r w:rsidR="00DA3A57">
          <w:rPr>
            <w:noProof/>
            <w:webHidden/>
          </w:rPr>
          <w:tab/>
        </w:r>
        <w:r w:rsidR="00DA3A57">
          <w:rPr>
            <w:noProof/>
            <w:webHidden/>
          </w:rPr>
          <w:fldChar w:fldCharType="begin"/>
        </w:r>
        <w:r w:rsidR="00DA3A57">
          <w:rPr>
            <w:noProof/>
            <w:webHidden/>
          </w:rPr>
          <w:instrText xml:space="preserve"> PAGEREF _Toc94283559 \h </w:instrText>
        </w:r>
        <w:r w:rsidR="00DA3A57">
          <w:rPr>
            <w:noProof/>
            <w:webHidden/>
          </w:rPr>
        </w:r>
        <w:r w:rsidR="00DA3A57">
          <w:rPr>
            <w:noProof/>
            <w:webHidden/>
          </w:rPr>
          <w:fldChar w:fldCharType="separate"/>
        </w:r>
        <w:r w:rsidR="004109B9">
          <w:rPr>
            <w:noProof/>
            <w:webHidden/>
          </w:rPr>
          <w:t>17</w:t>
        </w:r>
        <w:r w:rsidR="00DA3A57">
          <w:rPr>
            <w:noProof/>
            <w:webHidden/>
          </w:rPr>
          <w:fldChar w:fldCharType="end"/>
        </w:r>
      </w:hyperlink>
    </w:p>
    <w:p w14:paraId="4EF06344" w14:textId="31F30709" w:rsidR="00DA3A57" w:rsidRDefault="00464323">
      <w:pPr>
        <w:pStyle w:val="TOC1"/>
        <w:tabs>
          <w:tab w:val="left" w:pos="440"/>
          <w:tab w:val="right" w:leader="dot" w:pos="8891"/>
        </w:tabs>
        <w:rPr>
          <w:rFonts w:eastAsiaTheme="minorEastAsia"/>
          <w:noProof/>
          <w:spacing w:val="0"/>
          <w:sz w:val="22"/>
          <w:lang w:eastAsia="en-AU"/>
        </w:rPr>
      </w:pPr>
      <w:hyperlink w:anchor="_Toc94283560" w:history="1">
        <w:r w:rsidR="00DA3A57" w:rsidRPr="001A55EE">
          <w:rPr>
            <w:rStyle w:val="Hyperlink"/>
            <w:noProof/>
          </w:rPr>
          <w:t>6.</w:t>
        </w:r>
        <w:r w:rsidR="00DA3A57">
          <w:rPr>
            <w:rFonts w:eastAsiaTheme="minorEastAsia"/>
            <w:noProof/>
            <w:spacing w:val="0"/>
            <w:sz w:val="22"/>
            <w:lang w:eastAsia="en-AU"/>
          </w:rPr>
          <w:tab/>
        </w:r>
        <w:r w:rsidR="00DA3A57" w:rsidRPr="001A55EE">
          <w:rPr>
            <w:rStyle w:val="Hyperlink"/>
            <w:noProof/>
          </w:rPr>
          <w:t>Gender inclusive language</w:t>
        </w:r>
        <w:r w:rsidR="00DA3A57">
          <w:rPr>
            <w:noProof/>
            <w:webHidden/>
          </w:rPr>
          <w:tab/>
        </w:r>
        <w:r w:rsidR="00DA3A57">
          <w:rPr>
            <w:noProof/>
            <w:webHidden/>
          </w:rPr>
          <w:fldChar w:fldCharType="begin"/>
        </w:r>
        <w:r w:rsidR="00DA3A57">
          <w:rPr>
            <w:noProof/>
            <w:webHidden/>
          </w:rPr>
          <w:instrText xml:space="preserve"> PAGEREF _Toc94283560 \h </w:instrText>
        </w:r>
        <w:r w:rsidR="00DA3A57">
          <w:rPr>
            <w:noProof/>
            <w:webHidden/>
          </w:rPr>
        </w:r>
        <w:r w:rsidR="00DA3A57">
          <w:rPr>
            <w:noProof/>
            <w:webHidden/>
          </w:rPr>
          <w:fldChar w:fldCharType="separate"/>
        </w:r>
        <w:r w:rsidR="004109B9">
          <w:rPr>
            <w:noProof/>
            <w:webHidden/>
          </w:rPr>
          <w:t>19</w:t>
        </w:r>
        <w:r w:rsidR="00DA3A57">
          <w:rPr>
            <w:noProof/>
            <w:webHidden/>
          </w:rPr>
          <w:fldChar w:fldCharType="end"/>
        </w:r>
      </w:hyperlink>
    </w:p>
    <w:p w14:paraId="771D1A45" w14:textId="63FE556D" w:rsidR="00DA3A57" w:rsidRDefault="00464323">
      <w:pPr>
        <w:pStyle w:val="TOC1"/>
        <w:tabs>
          <w:tab w:val="left" w:pos="440"/>
          <w:tab w:val="right" w:leader="dot" w:pos="8891"/>
        </w:tabs>
        <w:rPr>
          <w:rFonts w:eastAsiaTheme="minorEastAsia"/>
          <w:noProof/>
          <w:spacing w:val="0"/>
          <w:sz w:val="22"/>
          <w:lang w:eastAsia="en-AU"/>
        </w:rPr>
      </w:pPr>
      <w:hyperlink w:anchor="_Toc94283561" w:history="1">
        <w:r w:rsidR="00DA3A57" w:rsidRPr="001A55EE">
          <w:rPr>
            <w:rStyle w:val="Hyperlink"/>
            <w:noProof/>
          </w:rPr>
          <w:t>7.</w:t>
        </w:r>
        <w:r w:rsidR="00DA3A57">
          <w:rPr>
            <w:rFonts w:eastAsiaTheme="minorEastAsia"/>
            <w:noProof/>
            <w:spacing w:val="0"/>
            <w:sz w:val="22"/>
            <w:lang w:eastAsia="en-AU"/>
          </w:rPr>
          <w:tab/>
        </w:r>
        <w:r w:rsidR="00DA3A57" w:rsidRPr="001A55EE">
          <w:rPr>
            <w:rStyle w:val="Hyperlink"/>
            <w:noProof/>
          </w:rPr>
          <w:t>An Equality Act for the Equality Capital</w:t>
        </w:r>
        <w:r w:rsidR="00DA3A57">
          <w:rPr>
            <w:noProof/>
            <w:webHidden/>
          </w:rPr>
          <w:tab/>
        </w:r>
        <w:r w:rsidR="00DA3A57">
          <w:rPr>
            <w:noProof/>
            <w:webHidden/>
          </w:rPr>
          <w:fldChar w:fldCharType="begin"/>
        </w:r>
        <w:r w:rsidR="00DA3A57">
          <w:rPr>
            <w:noProof/>
            <w:webHidden/>
          </w:rPr>
          <w:instrText xml:space="preserve"> PAGEREF _Toc94283561 \h </w:instrText>
        </w:r>
        <w:r w:rsidR="00DA3A57">
          <w:rPr>
            <w:noProof/>
            <w:webHidden/>
          </w:rPr>
        </w:r>
        <w:r w:rsidR="00DA3A57">
          <w:rPr>
            <w:noProof/>
            <w:webHidden/>
          </w:rPr>
          <w:fldChar w:fldCharType="separate"/>
        </w:r>
        <w:r w:rsidR="004109B9">
          <w:rPr>
            <w:noProof/>
            <w:webHidden/>
          </w:rPr>
          <w:t>19</w:t>
        </w:r>
        <w:r w:rsidR="00DA3A57">
          <w:rPr>
            <w:noProof/>
            <w:webHidden/>
          </w:rPr>
          <w:fldChar w:fldCharType="end"/>
        </w:r>
      </w:hyperlink>
    </w:p>
    <w:p w14:paraId="3285AF7F" w14:textId="7D3A3DD0" w:rsidR="00DA3A57" w:rsidRPr="00DA3A57" w:rsidRDefault="00464323">
      <w:pPr>
        <w:pStyle w:val="TOC1"/>
        <w:tabs>
          <w:tab w:val="right" w:leader="dot" w:pos="8891"/>
        </w:tabs>
        <w:rPr>
          <w:rFonts w:eastAsiaTheme="minorEastAsia"/>
          <w:b/>
          <w:bCs/>
          <w:noProof/>
          <w:spacing w:val="0"/>
          <w:sz w:val="22"/>
          <w:lang w:eastAsia="en-AU"/>
        </w:rPr>
      </w:pPr>
      <w:hyperlink w:anchor="_Toc94283562" w:history="1">
        <w:r w:rsidR="00DA3A57" w:rsidRPr="00DA3A57">
          <w:rPr>
            <w:rStyle w:val="Hyperlink"/>
            <w:b/>
            <w:bCs/>
            <w:noProof/>
          </w:rPr>
          <w:t>Schedule: Detailed response to discussion paper questions</w:t>
        </w:r>
        <w:r w:rsidR="00DA3A57" w:rsidRPr="00DA3A57">
          <w:rPr>
            <w:b/>
            <w:bCs/>
            <w:noProof/>
            <w:webHidden/>
          </w:rPr>
          <w:tab/>
        </w:r>
        <w:r w:rsidR="00DA3A57" w:rsidRPr="00DA3A57">
          <w:rPr>
            <w:b/>
            <w:bCs/>
            <w:noProof/>
            <w:webHidden/>
          </w:rPr>
          <w:fldChar w:fldCharType="begin"/>
        </w:r>
        <w:r w:rsidR="00DA3A57" w:rsidRPr="00DA3A57">
          <w:rPr>
            <w:b/>
            <w:bCs/>
            <w:noProof/>
            <w:webHidden/>
          </w:rPr>
          <w:instrText xml:space="preserve"> PAGEREF _Toc94283562 \h </w:instrText>
        </w:r>
        <w:r w:rsidR="00DA3A57" w:rsidRPr="00DA3A57">
          <w:rPr>
            <w:b/>
            <w:bCs/>
            <w:noProof/>
            <w:webHidden/>
          </w:rPr>
        </w:r>
        <w:r w:rsidR="00DA3A57" w:rsidRPr="00DA3A57">
          <w:rPr>
            <w:b/>
            <w:bCs/>
            <w:noProof/>
            <w:webHidden/>
          </w:rPr>
          <w:fldChar w:fldCharType="separate"/>
        </w:r>
        <w:r w:rsidR="004109B9">
          <w:rPr>
            <w:b/>
            <w:bCs/>
            <w:noProof/>
            <w:webHidden/>
          </w:rPr>
          <w:t>20</w:t>
        </w:r>
        <w:r w:rsidR="00DA3A57" w:rsidRPr="00DA3A57">
          <w:rPr>
            <w:b/>
            <w:bCs/>
            <w:noProof/>
            <w:webHidden/>
          </w:rPr>
          <w:fldChar w:fldCharType="end"/>
        </w:r>
      </w:hyperlink>
    </w:p>
    <w:p w14:paraId="4A19386E" w14:textId="194EDB3E" w:rsidR="008D38FB" w:rsidRDefault="00BB79D2" w:rsidP="00BB79D2">
      <w:r>
        <w:fldChar w:fldCharType="end"/>
      </w:r>
    </w:p>
    <w:p w14:paraId="013D8CB4" w14:textId="77777777" w:rsidR="008D38FB" w:rsidRDefault="008D38FB">
      <w:pPr>
        <w:spacing w:before="0" w:after="160" w:line="259" w:lineRule="auto"/>
      </w:pPr>
      <w:r>
        <w:br w:type="page"/>
      </w:r>
    </w:p>
    <w:p w14:paraId="60D2F385" w14:textId="353056BF" w:rsidR="002935A7" w:rsidRDefault="008D38FB" w:rsidP="002935A7">
      <w:pPr>
        <w:pStyle w:val="Heading3"/>
      </w:pPr>
      <w:bookmarkStart w:id="0" w:name="_Hlk89765936"/>
      <w:r>
        <w:lastRenderedPageBreak/>
        <w:t>A</w:t>
      </w:r>
      <w:r w:rsidR="002935A7">
        <w:t>bout equality Australia</w:t>
      </w:r>
    </w:p>
    <w:p w14:paraId="17D51CA5" w14:textId="77777777" w:rsidR="002935A7" w:rsidRPr="00F5285D" w:rsidRDefault="002935A7" w:rsidP="002935A7">
      <w:pPr>
        <w:rPr>
          <w:rFonts w:ascii="Overpass Light" w:eastAsia="Overpass Light" w:hAnsi="Overpass Light" w:cs="Times New Roman"/>
        </w:rPr>
      </w:pPr>
      <w:r w:rsidRPr="00F5285D">
        <w:rPr>
          <w:rFonts w:ascii="Overpass Light" w:eastAsia="Overpass Light" w:hAnsi="Overpass Light" w:cs="Times New Roman"/>
        </w:rPr>
        <w:t>Equality Australia is a national LGBTIQ+ organisation dedicated to achieving equality for LGBTIQ+ people.</w:t>
      </w:r>
    </w:p>
    <w:p w14:paraId="65B8ABEC" w14:textId="77777777" w:rsidR="002935A7" w:rsidRDefault="002935A7" w:rsidP="002935A7">
      <w:pPr>
        <w:rPr>
          <w:rFonts w:ascii="Overpass Light" w:eastAsia="Overpass Light" w:hAnsi="Overpass Light" w:cs="Times New Roman"/>
        </w:rPr>
      </w:pPr>
      <w:r w:rsidRPr="00F5285D">
        <w:rPr>
          <w:rFonts w:ascii="Overpass Light" w:eastAsia="Overpass Light" w:hAnsi="Overpass Light" w:cs="Times New Roman"/>
        </w:rPr>
        <w:t>Borne out of the successful campaign for marriage equality, and established with support from the Human Rights Law Centre, Equality Australia brings together legal, policy and communications expertise, along with thousands of supporters, to redress discrimination, disadvantage and distress experienced by LGBTIQ+ people.</w:t>
      </w:r>
    </w:p>
    <w:p w14:paraId="411B2D77" w14:textId="1AAC69CF" w:rsidR="009A738B" w:rsidRPr="00F5285D" w:rsidRDefault="009B2378" w:rsidP="002935A7">
      <w:pPr>
        <w:rPr>
          <w:rFonts w:ascii="Overpass Light" w:eastAsia="Overpass Light" w:hAnsi="Overpass Light" w:cs="Times New Roman"/>
        </w:rPr>
      </w:pPr>
      <w:r>
        <w:rPr>
          <w:rFonts w:ascii="Overpass Light" w:eastAsia="Overpass Light" w:hAnsi="Overpass Light" w:cs="Times New Roman"/>
        </w:rPr>
        <w:t xml:space="preserve">Equality Australia has a proud history of </w:t>
      </w:r>
      <w:r w:rsidR="00787427">
        <w:rPr>
          <w:rFonts w:ascii="Overpass Light" w:eastAsia="Overpass Light" w:hAnsi="Overpass Light" w:cs="Times New Roman"/>
        </w:rPr>
        <w:t xml:space="preserve">providing expert legal and policy analysis to </w:t>
      </w:r>
      <w:r w:rsidR="004F52C1">
        <w:rPr>
          <w:rFonts w:ascii="Overpass Light" w:eastAsia="Overpass Light" w:hAnsi="Overpass Light" w:cs="Times New Roman"/>
        </w:rPr>
        <w:t xml:space="preserve">help </w:t>
      </w:r>
      <w:r w:rsidR="00787427">
        <w:rPr>
          <w:rFonts w:ascii="Overpass Light" w:eastAsia="Overpass Light" w:hAnsi="Overpass Light" w:cs="Times New Roman"/>
        </w:rPr>
        <w:t>achieve equality for LGBITQ+ people in the Australian Capital Territory</w:t>
      </w:r>
      <w:r w:rsidR="00AB31F2">
        <w:rPr>
          <w:rFonts w:ascii="Overpass Light" w:eastAsia="Overpass Light" w:hAnsi="Overpass Light" w:cs="Times New Roman"/>
        </w:rPr>
        <w:t xml:space="preserve">. </w:t>
      </w:r>
      <w:r w:rsidR="009A738B">
        <w:rPr>
          <w:rFonts w:ascii="Overpass Light" w:eastAsia="Overpass Light" w:hAnsi="Overpass Light" w:cs="Times New Roman"/>
        </w:rPr>
        <w:t xml:space="preserve">In 2019, </w:t>
      </w:r>
      <w:r w:rsidR="0072012D" w:rsidRPr="0072012D">
        <w:rPr>
          <w:rFonts w:ascii="Overpass Light" w:eastAsia="Overpass Light" w:hAnsi="Overpass Light" w:cs="Times New Roman"/>
        </w:rPr>
        <w:t>the ACT Government commissioned Equality Australia to conduct an independent and comprehensive legal audit of ACT legislation and regulations for laws which could discriminate against or cause harm to LGBTIQ+ people</w:t>
      </w:r>
      <w:r w:rsidR="00AB31F2">
        <w:rPr>
          <w:rFonts w:ascii="Overpass Light" w:eastAsia="Overpass Light" w:hAnsi="Overpass Light" w:cs="Times New Roman"/>
        </w:rPr>
        <w:t xml:space="preserve">. </w:t>
      </w:r>
      <w:r w:rsidR="003B3E44">
        <w:rPr>
          <w:rFonts w:ascii="Overpass Light" w:eastAsia="Overpass Light" w:hAnsi="Overpass Light" w:cs="Times New Roman"/>
        </w:rPr>
        <w:t xml:space="preserve">In 2021, the ACT Government also commissioned Equality Australia to </w:t>
      </w:r>
      <w:r w:rsidR="004A12B9" w:rsidRPr="004A12B9">
        <w:rPr>
          <w:rFonts w:ascii="Overpass Light" w:eastAsia="Overpass Light" w:hAnsi="Overpass Light" w:cs="Times New Roman"/>
        </w:rPr>
        <w:t xml:space="preserve">conduct a legal workshop </w:t>
      </w:r>
      <w:r w:rsidR="001E1F48">
        <w:rPr>
          <w:rFonts w:ascii="Overpass Light" w:eastAsia="Overpass Light" w:hAnsi="Overpass Light" w:cs="Times New Roman"/>
        </w:rPr>
        <w:t>a</w:t>
      </w:r>
      <w:r w:rsidR="004A12B9" w:rsidRPr="004A12B9">
        <w:rPr>
          <w:rFonts w:ascii="Overpass Light" w:eastAsia="Overpass Light" w:hAnsi="Overpass Light" w:cs="Times New Roman"/>
        </w:rPr>
        <w:t>nalys</w:t>
      </w:r>
      <w:r w:rsidR="001E1F48">
        <w:rPr>
          <w:rFonts w:ascii="Overpass Light" w:eastAsia="Overpass Light" w:hAnsi="Overpass Light" w:cs="Times New Roman"/>
        </w:rPr>
        <w:t>ing</w:t>
      </w:r>
      <w:r w:rsidR="004A12B9" w:rsidRPr="004A12B9">
        <w:rPr>
          <w:rFonts w:ascii="Overpass Light" w:eastAsia="Overpass Light" w:hAnsi="Overpass Light" w:cs="Times New Roman"/>
        </w:rPr>
        <w:t xml:space="preserve"> legal issues arising from various reform models being explored for implementing a prohibition on deferrable medical interventions on intersex people</w:t>
      </w:r>
      <w:r w:rsidR="00AB31F2">
        <w:rPr>
          <w:rFonts w:ascii="Overpass Light" w:eastAsia="Overpass Light" w:hAnsi="Overpass Light" w:cs="Times New Roman"/>
        </w:rPr>
        <w:t xml:space="preserve">. </w:t>
      </w:r>
    </w:p>
    <w:p w14:paraId="78A86F99" w14:textId="77777777" w:rsidR="002935A7" w:rsidRPr="00F5285D" w:rsidRDefault="002935A7" w:rsidP="002935A7">
      <w:pPr>
        <w:rPr>
          <w:rFonts w:ascii="Overpass Light" w:eastAsia="Overpass Light" w:hAnsi="Overpass Light" w:cs="Times New Roman"/>
        </w:rPr>
      </w:pPr>
      <w:r w:rsidRPr="00F5285D">
        <w:rPr>
          <w:rFonts w:ascii="Overpass Light" w:eastAsia="Overpass Light" w:hAnsi="Overpass Light" w:cs="Times New Roman"/>
          <w:b/>
          <w:bCs/>
        </w:rPr>
        <w:t>Sydney office:</w:t>
      </w:r>
      <w:r w:rsidRPr="00F5285D">
        <w:rPr>
          <w:rFonts w:ascii="Overpass Light" w:eastAsia="Overpass Light" w:hAnsi="Overpass Light" w:cs="Times New Roman"/>
        </w:rPr>
        <w:t xml:space="preserve"> 414 Elizabeth Street Surry Hills NSW 2010 </w:t>
      </w:r>
      <w:r w:rsidRPr="00F5285D">
        <w:rPr>
          <w:rFonts w:ascii="Overpass Light" w:eastAsia="Overpass Light" w:hAnsi="Overpass Light" w:cs="Times New Roman"/>
        </w:rPr>
        <w:br/>
      </w:r>
      <w:r w:rsidRPr="00F5285D">
        <w:rPr>
          <w:rFonts w:ascii="Overpass Light" w:eastAsia="Overpass Light" w:hAnsi="Overpass Light" w:cs="Times New Roman"/>
          <w:b/>
          <w:bCs/>
        </w:rPr>
        <w:t>Melbourne office:</w:t>
      </w:r>
      <w:r w:rsidRPr="00F5285D">
        <w:rPr>
          <w:rFonts w:ascii="Overpass Light" w:eastAsia="Overpass Light" w:hAnsi="Overpass Light" w:cs="Times New Roman"/>
        </w:rPr>
        <w:t xml:space="preserve"> Victorian Pride Centre, 79-81 Fitzroy Street St Kilda VIC 3182</w:t>
      </w:r>
    </w:p>
    <w:p w14:paraId="70CE2BE0" w14:textId="77777777" w:rsidR="002935A7" w:rsidRPr="00F5285D" w:rsidRDefault="002935A7" w:rsidP="002935A7">
      <w:pPr>
        <w:rPr>
          <w:rFonts w:ascii="Overpass Light" w:eastAsia="Overpass Light" w:hAnsi="Overpass Light" w:cs="Times New Roman"/>
        </w:rPr>
      </w:pPr>
      <w:r w:rsidRPr="00F5285D">
        <w:rPr>
          <w:rFonts w:ascii="Overpass Light" w:eastAsia="Overpass Light" w:hAnsi="Overpass Light" w:cs="Times New Roman"/>
        </w:rPr>
        <w:t>Email: info@equalityaustralia.org.au</w:t>
      </w:r>
    </w:p>
    <w:p w14:paraId="307634C6" w14:textId="77777777" w:rsidR="002935A7" w:rsidRPr="00F5285D" w:rsidRDefault="002935A7" w:rsidP="002935A7">
      <w:pPr>
        <w:rPr>
          <w:rFonts w:ascii="Overpass Light" w:eastAsia="Overpass Light" w:hAnsi="Overpass Light" w:cs="Times New Roman"/>
        </w:rPr>
      </w:pPr>
      <w:r w:rsidRPr="00F5285D">
        <w:rPr>
          <w:rFonts w:ascii="Overpass Light" w:eastAsia="Overpass Light" w:hAnsi="Overpass Light" w:cs="Times New Roman"/>
        </w:rPr>
        <w:t>www.equalityaustralia.org.au</w:t>
      </w:r>
    </w:p>
    <w:p w14:paraId="41D36845" w14:textId="77777777" w:rsidR="002935A7" w:rsidRPr="00367BE6" w:rsidRDefault="002935A7" w:rsidP="002935A7">
      <w:r w:rsidRPr="00F5285D">
        <w:rPr>
          <w:rFonts w:ascii="Overpass Light" w:eastAsia="Overpass Light" w:hAnsi="Overpass Light" w:cs="Times New Roman"/>
        </w:rPr>
        <w:t>We acknowledge that our offices are on the land of the Kulin Nation and the land of the Eora Nation and we pay our respects to their traditional owners.</w:t>
      </w:r>
    </w:p>
    <w:bookmarkEnd w:id="0"/>
    <w:p w14:paraId="0FAC8852" w14:textId="68F67213" w:rsidR="00BB79D2" w:rsidRDefault="00BB79D2" w:rsidP="00CA34DF">
      <w:pPr>
        <w:pStyle w:val="Section"/>
        <w:sectPr w:rsidR="00BB79D2" w:rsidSect="00735275">
          <w:headerReference w:type="default" r:id="rId13"/>
          <w:footerReference w:type="default" r:id="rId14"/>
          <w:pgSz w:w="11907" w:h="16840" w:code="9"/>
          <w:pgMar w:top="1644" w:right="1021" w:bottom="1644" w:left="1985" w:header="709" w:footer="244" w:gutter="0"/>
          <w:pgNumType w:start="1"/>
          <w:cols w:space="708"/>
          <w:docGrid w:linePitch="360"/>
        </w:sectPr>
      </w:pPr>
    </w:p>
    <w:p w14:paraId="08E1C14F" w14:textId="27CA680C" w:rsidR="00CA34DF" w:rsidRDefault="00B626AB" w:rsidP="00CA34DF">
      <w:pPr>
        <w:pStyle w:val="Section"/>
      </w:pPr>
      <w:bookmarkStart w:id="1" w:name="_Toc94283543"/>
      <w:r>
        <w:lastRenderedPageBreak/>
        <w:t>E</w:t>
      </w:r>
      <w:r w:rsidR="009C1CB4">
        <w:t xml:space="preserve">xecutive </w:t>
      </w:r>
      <w:r>
        <w:t>s</w:t>
      </w:r>
      <w:r w:rsidR="009C1CB4">
        <w:t>ummary</w:t>
      </w:r>
      <w:bookmarkEnd w:id="1"/>
    </w:p>
    <w:p w14:paraId="486E392C" w14:textId="2356B959" w:rsidR="00416309" w:rsidRDefault="00416309" w:rsidP="00416309">
      <w:pPr>
        <w:rPr>
          <w:rFonts w:ascii="Overpass Light" w:eastAsia="Overpass Light" w:hAnsi="Overpass Light" w:cs="Times New Roman"/>
        </w:rPr>
      </w:pPr>
      <w:bookmarkStart w:id="2" w:name="_Hlk89766244"/>
      <w:r w:rsidRPr="00F5285D">
        <w:rPr>
          <w:rFonts w:ascii="Overpass Light" w:eastAsia="Overpass Light" w:hAnsi="Overpass Light" w:cs="Times New Roman"/>
        </w:rPr>
        <w:t xml:space="preserve">Thank you for the opportunity to make a submission to the </w:t>
      </w:r>
      <w:r>
        <w:rPr>
          <w:rFonts w:ascii="Overpass Light" w:eastAsia="Overpass Light" w:hAnsi="Overpass Light" w:cs="Times New Roman"/>
        </w:rPr>
        <w:t>ACT Government</w:t>
      </w:r>
      <w:r w:rsidR="00F66FC1">
        <w:rPr>
          <w:rFonts w:ascii="Overpass Light" w:eastAsia="Overpass Light" w:hAnsi="Overpass Light" w:cs="Times New Roman"/>
        </w:rPr>
        <w:t>’</w:t>
      </w:r>
      <w:r>
        <w:rPr>
          <w:rFonts w:ascii="Overpass Light" w:eastAsia="Overpass Light" w:hAnsi="Overpass Light" w:cs="Times New Roman"/>
        </w:rPr>
        <w:t xml:space="preserve">s Justice and Community Safety Directorate regarding the ACT Government's review of the </w:t>
      </w:r>
      <w:r>
        <w:rPr>
          <w:rFonts w:ascii="Overpass Light" w:eastAsia="Overpass Light" w:hAnsi="Overpass Light" w:cs="Times New Roman"/>
          <w:i/>
          <w:iCs/>
        </w:rPr>
        <w:t xml:space="preserve">Discrimination Act 1991 </w:t>
      </w:r>
      <w:r>
        <w:rPr>
          <w:rFonts w:ascii="Overpass Light" w:eastAsia="Overpass Light" w:hAnsi="Overpass Light" w:cs="Times New Roman"/>
        </w:rPr>
        <w:t xml:space="preserve">(ACT) (the </w:t>
      </w:r>
      <w:r>
        <w:rPr>
          <w:rFonts w:ascii="Overpass Light" w:eastAsia="Overpass Light" w:hAnsi="Overpass Light" w:cs="Times New Roman"/>
          <w:b/>
          <w:bCs/>
        </w:rPr>
        <w:t>Act</w:t>
      </w:r>
      <w:r>
        <w:rPr>
          <w:rFonts w:ascii="Overpass Light" w:eastAsia="Overpass Light" w:hAnsi="Overpass Light" w:cs="Times New Roman"/>
        </w:rPr>
        <w:t>).</w:t>
      </w:r>
    </w:p>
    <w:p w14:paraId="1B62AA27" w14:textId="18D1DC0E" w:rsidR="00416309" w:rsidRDefault="00E622CB" w:rsidP="00416309">
      <w:pPr>
        <w:rPr>
          <w:rFonts w:ascii="Overpass Light" w:eastAsia="Overpass Light" w:hAnsi="Overpass Light" w:cs="Times New Roman"/>
        </w:rPr>
      </w:pPr>
      <w:r>
        <w:rPr>
          <w:rFonts w:ascii="Overpass Light" w:eastAsia="Overpass Light" w:hAnsi="Overpass Light" w:cs="Times New Roman"/>
        </w:rPr>
        <w:t xml:space="preserve">The ACT has a proud history of leading the nation on </w:t>
      </w:r>
      <w:r w:rsidR="00FD2260">
        <w:rPr>
          <w:rFonts w:ascii="Overpass Light" w:eastAsia="Overpass Light" w:hAnsi="Overpass Light" w:cs="Times New Roman"/>
        </w:rPr>
        <w:t xml:space="preserve">many </w:t>
      </w:r>
      <w:r w:rsidR="002F17A5">
        <w:rPr>
          <w:rFonts w:ascii="Overpass Light" w:eastAsia="Overpass Light" w:hAnsi="Overpass Light" w:cs="Times New Roman"/>
        </w:rPr>
        <w:t>reforms that promote and advance equality</w:t>
      </w:r>
      <w:r w:rsidR="00E11F20">
        <w:rPr>
          <w:rFonts w:ascii="Overpass Light" w:eastAsia="Overpass Light" w:hAnsi="Overpass Light" w:cs="Times New Roman"/>
        </w:rPr>
        <w:t>, particularly for LGBTIQ+ people</w:t>
      </w:r>
      <w:r w:rsidR="00FD2260">
        <w:rPr>
          <w:rFonts w:ascii="Overpass Light" w:eastAsia="Overpass Light" w:hAnsi="Overpass Light" w:cs="Times New Roman"/>
        </w:rPr>
        <w:t xml:space="preserve"> and their families</w:t>
      </w:r>
      <w:r w:rsidR="00AB31F2">
        <w:rPr>
          <w:rFonts w:ascii="Overpass Light" w:eastAsia="Overpass Light" w:hAnsi="Overpass Light" w:cs="Times New Roman"/>
        </w:rPr>
        <w:t xml:space="preserve">. </w:t>
      </w:r>
      <w:r w:rsidR="002F17A5">
        <w:rPr>
          <w:rFonts w:ascii="Overpass Light" w:eastAsia="Overpass Light" w:hAnsi="Overpass Light" w:cs="Times New Roman"/>
        </w:rPr>
        <w:t xml:space="preserve">The </w:t>
      </w:r>
      <w:r w:rsidR="00465833">
        <w:rPr>
          <w:rFonts w:ascii="Overpass Light" w:eastAsia="Overpass Light" w:hAnsi="Overpass Light" w:cs="Times New Roman"/>
        </w:rPr>
        <w:t xml:space="preserve">Act </w:t>
      </w:r>
      <w:r w:rsidR="00E11F20">
        <w:rPr>
          <w:rFonts w:ascii="Overpass Light" w:eastAsia="Overpass Light" w:hAnsi="Overpass Light" w:cs="Times New Roman"/>
        </w:rPr>
        <w:t xml:space="preserve">is an example </w:t>
      </w:r>
      <w:r w:rsidR="00FD2260">
        <w:rPr>
          <w:rFonts w:ascii="Overpass Light" w:eastAsia="Overpass Light" w:hAnsi="Overpass Light" w:cs="Times New Roman"/>
        </w:rPr>
        <w:t>of that legacy</w:t>
      </w:r>
      <w:r w:rsidR="00AB31F2">
        <w:rPr>
          <w:rFonts w:ascii="Overpass Light" w:eastAsia="Overpass Light" w:hAnsi="Overpass Light" w:cs="Times New Roman"/>
        </w:rPr>
        <w:t xml:space="preserve">. </w:t>
      </w:r>
      <w:r w:rsidR="00FD2260">
        <w:rPr>
          <w:rFonts w:ascii="Overpass Light" w:eastAsia="Overpass Light" w:hAnsi="Overpass Light" w:cs="Times New Roman"/>
        </w:rPr>
        <w:t xml:space="preserve">The Act has </w:t>
      </w:r>
      <w:r w:rsidR="00416309" w:rsidRPr="00F5285D">
        <w:rPr>
          <w:rFonts w:ascii="Overpass Light" w:eastAsia="Overpass Light" w:hAnsi="Overpass Light" w:cs="Times New Roman"/>
        </w:rPr>
        <w:t xml:space="preserve">provided a fair go and extended equal opportunities to many </w:t>
      </w:r>
      <w:r w:rsidR="00416309">
        <w:rPr>
          <w:rFonts w:ascii="Overpass Light" w:eastAsia="Overpass Light" w:hAnsi="Overpass Light" w:cs="Times New Roman"/>
        </w:rPr>
        <w:t>people in the ACT</w:t>
      </w:r>
      <w:r w:rsidR="00AB31F2">
        <w:rPr>
          <w:rFonts w:ascii="Overpass Light" w:eastAsia="Overpass Light" w:hAnsi="Overpass Light" w:cs="Times New Roman"/>
        </w:rPr>
        <w:t xml:space="preserve">. </w:t>
      </w:r>
      <w:r w:rsidR="00416309" w:rsidRPr="00F5285D">
        <w:rPr>
          <w:rFonts w:ascii="Overpass Light" w:eastAsia="Overpass Light" w:hAnsi="Overpass Light" w:cs="Times New Roman"/>
        </w:rPr>
        <w:t>It has levelled the playing field, making available employment, education and services to people who were once denied these opportunities based on who they are or whom they love</w:t>
      </w:r>
      <w:r w:rsidR="00AB31F2">
        <w:rPr>
          <w:rFonts w:ascii="Overpass Light" w:eastAsia="Overpass Light" w:hAnsi="Overpass Light" w:cs="Times New Roman"/>
        </w:rPr>
        <w:t xml:space="preserve">. </w:t>
      </w:r>
      <w:r w:rsidR="00074403">
        <w:rPr>
          <w:rFonts w:ascii="Overpass Light" w:eastAsia="Overpass Light" w:hAnsi="Overpass Light" w:cs="Times New Roman"/>
        </w:rPr>
        <w:t xml:space="preserve">In </w:t>
      </w:r>
      <w:r w:rsidR="00A74039">
        <w:rPr>
          <w:rFonts w:ascii="Overpass Light" w:eastAsia="Overpass Light" w:hAnsi="Overpass Light" w:cs="Times New Roman"/>
        </w:rPr>
        <w:t xml:space="preserve">2018 </w:t>
      </w:r>
      <w:r w:rsidR="002901FC">
        <w:rPr>
          <w:rFonts w:ascii="Overpass Light" w:eastAsia="Overpass Light" w:hAnsi="Overpass Light" w:cs="Times New Roman"/>
        </w:rPr>
        <w:t>and again in</w:t>
      </w:r>
      <w:r w:rsidR="00A74039">
        <w:rPr>
          <w:rFonts w:ascii="Overpass Light" w:eastAsia="Overpass Light" w:hAnsi="Overpass Light" w:cs="Times New Roman"/>
        </w:rPr>
        <w:t xml:space="preserve"> </w:t>
      </w:r>
      <w:r w:rsidR="00CD34BA">
        <w:rPr>
          <w:rFonts w:ascii="Overpass Light" w:eastAsia="Overpass Light" w:hAnsi="Overpass Light" w:cs="Times New Roman"/>
        </w:rPr>
        <w:t>2020</w:t>
      </w:r>
      <w:r w:rsidR="002901FC">
        <w:rPr>
          <w:rFonts w:ascii="Overpass Light" w:eastAsia="Overpass Light" w:hAnsi="Overpass Light" w:cs="Times New Roman"/>
        </w:rPr>
        <w:t>, the Act was strengthen</w:t>
      </w:r>
      <w:r w:rsidR="00C73E69">
        <w:rPr>
          <w:rFonts w:ascii="Overpass Light" w:eastAsia="Overpass Light" w:hAnsi="Overpass Light" w:cs="Times New Roman"/>
        </w:rPr>
        <w:t>ed</w:t>
      </w:r>
      <w:r w:rsidR="002901FC">
        <w:rPr>
          <w:rFonts w:ascii="Overpass Light" w:eastAsia="Overpass Light" w:hAnsi="Overpass Light" w:cs="Times New Roman"/>
        </w:rPr>
        <w:t xml:space="preserve"> to protect LGBTIQ+ people </w:t>
      </w:r>
      <w:r w:rsidR="00C73E69">
        <w:rPr>
          <w:rFonts w:ascii="Overpass Light" w:eastAsia="Overpass Light" w:hAnsi="Overpass Light" w:cs="Times New Roman"/>
        </w:rPr>
        <w:t>from</w:t>
      </w:r>
      <w:r w:rsidR="002901FC">
        <w:rPr>
          <w:rFonts w:ascii="Overpass Light" w:eastAsia="Overpass Light" w:hAnsi="Overpass Light" w:cs="Times New Roman"/>
        </w:rPr>
        <w:t xml:space="preserve"> discrimination</w:t>
      </w:r>
      <w:r w:rsidR="008D1D04">
        <w:rPr>
          <w:rFonts w:ascii="Overpass Light" w:eastAsia="Overpass Light" w:hAnsi="Overpass Light" w:cs="Times New Roman"/>
        </w:rPr>
        <w:t>, particularly</w:t>
      </w:r>
      <w:r w:rsidR="002901FC">
        <w:rPr>
          <w:rFonts w:ascii="Overpass Light" w:eastAsia="Overpass Light" w:hAnsi="Overpass Light" w:cs="Times New Roman"/>
        </w:rPr>
        <w:t xml:space="preserve"> in religious educational institutions</w:t>
      </w:r>
      <w:r w:rsidR="00C82228">
        <w:rPr>
          <w:rFonts w:ascii="Overpass Light" w:eastAsia="Overpass Light" w:hAnsi="Overpass Light" w:cs="Times New Roman"/>
        </w:rPr>
        <w:t>.</w:t>
      </w:r>
    </w:p>
    <w:p w14:paraId="67CA334E" w14:textId="531F28C7" w:rsidR="0045004A" w:rsidRDefault="0045004A" w:rsidP="0045004A">
      <w:pPr>
        <w:pStyle w:val="Intro"/>
        <w:rPr>
          <w:rFonts w:ascii="Overpass Light" w:eastAsia="Overpass Light" w:hAnsi="Overpass Light" w:cs="Times New Roman"/>
        </w:rPr>
      </w:pPr>
      <w:r>
        <w:t>An Equality Act for the Equality Capital.</w:t>
      </w:r>
    </w:p>
    <w:p w14:paraId="0A002C22" w14:textId="06DE1E81" w:rsidR="00751A9D" w:rsidRDefault="00416309" w:rsidP="00416309">
      <w:pPr>
        <w:rPr>
          <w:rFonts w:ascii="Overpass Light" w:eastAsia="Overpass Light" w:hAnsi="Overpass Light" w:cs="Times New Roman"/>
        </w:rPr>
      </w:pPr>
      <w:r>
        <w:rPr>
          <w:rFonts w:ascii="Overpass Light" w:eastAsia="Overpass Light" w:hAnsi="Overpass Light" w:cs="Times New Roman"/>
        </w:rPr>
        <w:t xml:space="preserve">As a leader in the protection of human rights, the ACT </w:t>
      </w:r>
      <w:r w:rsidR="00751A9D">
        <w:rPr>
          <w:rFonts w:ascii="Overpass Light" w:eastAsia="Overpass Light" w:hAnsi="Overpass Light" w:cs="Times New Roman"/>
        </w:rPr>
        <w:t xml:space="preserve">now </w:t>
      </w:r>
      <w:r w:rsidR="007C37A6">
        <w:rPr>
          <w:rFonts w:ascii="Overpass Light" w:eastAsia="Overpass Light" w:hAnsi="Overpass Light" w:cs="Times New Roman"/>
        </w:rPr>
        <w:t>can</w:t>
      </w:r>
      <w:r w:rsidR="00751A9D">
        <w:rPr>
          <w:rFonts w:ascii="Overpass Light" w:eastAsia="Overpass Light" w:hAnsi="Overpass Light" w:cs="Times New Roman"/>
        </w:rPr>
        <w:t xml:space="preserve"> </w:t>
      </w:r>
      <w:r w:rsidR="007C37A6">
        <w:rPr>
          <w:rFonts w:ascii="Overpass Light" w:eastAsia="Overpass Light" w:hAnsi="Overpass Light" w:cs="Times New Roman"/>
        </w:rPr>
        <w:t xml:space="preserve">take the </w:t>
      </w:r>
      <w:r w:rsidR="00751A9D">
        <w:rPr>
          <w:rFonts w:ascii="Overpass Light" w:eastAsia="Overpass Light" w:hAnsi="Overpass Light" w:cs="Times New Roman"/>
        </w:rPr>
        <w:t>next step</w:t>
      </w:r>
      <w:r w:rsidR="00AB31F2">
        <w:rPr>
          <w:rFonts w:ascii="Overpass Light" w:eastAsia="Overpass Light" w:hAnsi="Overpass Light" w:cs="Times New Roman"/>
        </w:rPr>
        <w:t xml:space="preserve">. </w:t>
      </w:r>
      <w:r w:rsidR="00216947">
        <w:rPr>
          <w:rFonts w:ascii="Overpass Light" w:eastAsia="Overpass Light" w:hAnsi="Overpass Light" w:cs="Times New Roman"/>
        </w:rPr>
        <w:t xml:space="preserve">The ACT has the opportunity to adopt best practice reforms that set </w:t>
      </w:r>
      <w:r w:rsidR="004E6DFD">
        <w:rPr>
          <w:rFonts w:ascii="Overpass Light" w:eastAsia="Overpass Light" w:hAnsi="Overpass Light" w:cs="Times New Roman"/>
        </w:rPr>
        <w:t xml:space="preserve">the </w:t>
      </w:r>
      <w:r w:rsidR="00216947">
        <w:rPr>
          <w:rFonts w:ascii="Overpass Light" w:eastAsia="Overpass Light" w:hAnsi="Overpass Light" w:cs="Times New Roman"/>
        </w:rPr>
        <w:t>standard for anti-discrimination laws in this country</w:t>
      </w:r>
      <w:r w:rsidR="00AB31F2">
        <w:rPr>
          <w:rFonts w:ascii="Overpass Light" w:eastAsia="Overpass Light" w:hAnsi="Overpass Light" w:cs="Times New Roman"/>
        </w:rPr>
        <w:t xml:space="preserve">. </w:t>
      </w:r>
      <w:r w:rsidR="00216947">
        <w:rPr>
          <w:rFonts w:ascii="Overpass Light" w:eastAsia="Overpass Light" w:hAnsi="Overpass Light" w:cs="Times New Roman"/>
        </w:rPr>
        <w:t>It is time f</w:t>
      </w:r>
      <w:r w:rsidR="00DE7BF1">
        <w:rPr>
          <w:rFonts w:ascii="Overpass Light" w:eastAsia="Overpass Light" w:hAnsi="Overpass Light" w:cs="Times New Roman"/>
        </w:rPr>
        <w:t xml:space="preserve">or these laws to do more than </w:t>
      </w:r>
      <w:r w:rsidR="002D75DF">
        <w:rPr>
          <w:rFonts w:ascii="Overpass Light" w:eastAsia="Overpass Light" w:hAnsi="Overpass Light" w:cs="Times New Roman"/>
        </w:rPr>
        <w:t xml:space="preserve">provide a </w:t>
      </w:r>
      <w:r w:rsidR="00DE7BF1">
        <w:rPr>
          <w:rFonts w:ascii="Overpass Light" w:eastAsia="Overpass Light" w:hAnsi="Overpass Light" w:cs="Times New Roman"/>
        </w:rPr>
        <w:t xml:space="preserve">remedy </w:t>
      </w:r>
      <w:r w:rsidR="002D75DF">
        <w:rPr>
          <w:rFonts w:ascii="Overpass Light" w:eastAsia="Overpass Light" w:hAnsi="Overpass Light" w:cs="Times New Roman"/>
        </w:rPr>
        <w:t xml:space="preserve">when </w:t>
      </w:r>
      <w:r w:rsidR="00DE7BF1">
        <w:rPr>
          <w:rFonts w:ascii="Overpass Light" w:eastAsia="Overpass Light" w:hAnsi="Overpass Light" w:cs="Times New Roman"/>
        </w:rPr>
        <w:t>discrimination happens</w:t>
      </w:r>
      <w:r w:rsidR="00AB31F2">
        <w:rPr>
          <w:rFonts w:ascii="Overpass Light" w:eastAsia="Overpass Light" w:hAnsi="Overpass Light" w:cs="Times New Roman"/>
        </w:rPr>
        <w:t xml:space="preserve">. </w:t>
      </w:r>
      <w:r w:rsidR="00FF5D31">
        <w:rPr>
          <w:rFonts w:ascii="Overpass Light" w:eastAsia="Overpass Light" w:hAnsi="Overpass Light" w:cs="Times New Roman"/>
        </w:rPr>
        <w:t xml:space="preserve">The Capital of Equality needs an </w:t>
      </w:r>
      <w:r w:rsidR="00FF5D31" w:rsidRPr="00FF5D31">
        <w:rPr>
          <w:rFonts w:ascii="Overpass Light" w:eastAsia="Overpass Light" w:hAnsi="Overpass Light" w:cs="Times New Roman"/>
          <w:i/>
          <w:iCs/>
        </w:rPr>
        <w:t>Equality Act</w:t>
      </w:r>
      <w:r w:rsidR="00FF5D31">
        <w:rPr>
          <w:rFonts w:ascii="Overpass Light" w:eastAsia="Overpass Light" w:hAnsi="Overpass Light" w:cs="Times New Roman"/>
        </w:rPr>
        <w:t xml:space="preserve"> which </w:t>
      </w:r>
      <w:r w:rsidR="002D75DF">
        <w:rPr>
          <w:rFonts w:ascii="Overpass Light" w:eastAsia="Overpass Light" w:hAnsi="Overpass Light" w:cs="Times New Roman"/>
        </w:rPr>
        <w:t>proactively</w:t>
      </w:r>
      <w:r w:rsidR="001E01DC">
        <w:rPr>
          <w:rFonts w:ascii="Overpass Light" w:eastAsia="Overpass Light" w:hAnsi="Overpass Light" w:cs="Times New Roman"/>
        </w:rPr>
        <w:t xml:space="preserve"> promot</w:t>
      </w:r>
      <w:r w:rsidR="00FF5D31">
        <w:rPr>
          <w:rFonts w:ascii="Overpass Light" w:eastAsia="Overpass Light" w:hAnsi="Overpass Light" w:cs="Times New Roman"/>
        </w:rPr>
        <w:t>es</w:t>
      </w:r>
      <w:r w:rsidR="001E01DC">
        <w:rPr>
          <w:rFonts w:ascii="Overpass Light" w:eastAsia="Overpass Light" w:hAnsi="Overpass Light" w:cs="Times New Roman"/>
        </w:rPr>
        <w:t xml:space="preserve"> equality and</w:t>
      </w:r>
      <w:r w:rsidR="002D75DF">
        <w:rPr>
          <w:rFonts w:ascii="Overpass Light" w:eastAsia="Overpass Light" w:hAnsi="Overpass Light" w:cs="Times New Roman"/>
        </w:rPr>
        <w:t xml:space="preserve"> prevent</w:t>
      </w:r>
      <w:r w:rsidR="00FF5D31">
        <w:rPr>
          <w:rFonts w:ascii="Overpass Light" w:eastAsia="Overpass Light" w:hAnsi="Overpass Light" w:cs="Times New Roman"/>
        </w:rPr>
        <w:t>s</w:t>
      </w:r>
      <w:r w:rsidR="002D75DF">
        <w:rPr>
          <w:rFonts w:ascii="Overpass Light" w:eastAsia="Overpass Light" w:hAnsi="Overpass Light" w:cs="Times New Roman"/>
        </w:rPr>
        <w:t xml:space="preserve"> discrimination from happening in the first place</w:t>
      </w:r>
      <w:r w:rsidR="00AB31F2">
        <w:rPr>
          <w:rFonts w:ascii="Overpass Light" w:eastAsia="Overpass Light" w:hAnsi="Overpass Light" w:cs="Times New Roman"/>
        </w:rPr>
        <w:t xml:space="preserve">. </w:t>
      </w:r>
    </w:p>
    <w:p w14:paraId="667A8D35" w14:textId="7664B59B" w:rsidR="00216947" w:rsidRDefault="00F37514" w:rsidP="00416309">
      <w:pPr>
        <w:rPr>
          <w:rFonts w:ascii="Overpass Light" w:eastAsia="Overpass Light" w:hAnsi="Overpass Light" w:cs="Times New Roman"/>
        </w:rPr>
      </w:pPr>
      <w:r>
        <w:rPr>
          <w:rFonts w:ascii="Overpass Light" w:eastAsia="Overpass Light" w:hAnsi="Overpass Light" w:cs="Times New Roman"/>
        </w:rPr>
        <w:t xml:space="preserve">Equality Australia recommends </w:t>
      </w:r>
      <w:r w:rsidR="00E14673">
        <w:rPr>
          <w:rFonts w:ascii="Overpass Light" w:eastAsia="Overpass Light" w:hAnsi="Overpass Light" w:cs="Times New Roman"/>
        </w:rPr>
        <w:t>the following changes to the Act</w:t>
      </w:r>
      <w:r w:rsidR="00682FE0">
        <w:rPr>
          <w:rFonts w:ascii="Overpass Light" w:eastAsia="Overpass Light" w:hAnsi="Overpass Light" w:cs="Times New Roman"/>
        </w:rPr>
        <w:t>:</w:t>
      </w:r>
    </w:p>
    <w:p w14:paraId="60D0B55A" w14:textId="165B2C5C" w:rsidR="00416309" w:rsidRPr="00FF42A1" w:rsidRDefault="00567FD7" w:rsidP="00416309">
      <w:pPr>
        <w:numPr>
          <w:ilvl w:val="0"/>
          <w:numId w:val="14"/>
        </w:numPr>
        <w:ind w:left="714" w:hanging="357"/>
        <w:rPr>
          <w:rFonts w:ascii="Overpass Light" w:eastAsia="Overpass Light" w:hAnsi="Overpass Light" w:cs="Times New Roman"/>
        </w:rPr>
      </w:pPr>
      <w:r w:rsidRPr="00EC4138">
        <w:rPr>
          <w:rFonts w:ascii="Overpass Light" w:eastAsia="Overpass Light" w:hAnsi="Overpass Light" w:cs="Times New Roman"/>
          <w:b/>
          <w:bCs/>
        </w:rPr>
        <w:t>N</w:t>
      </w:r>
      <w:r w:rsidR="00416309" w:rsidRPr="00EC4138">
        <w:rPr>
          <w:rFonts w:ascii="Overpass Light" w:eastAsia="Overpass Light" w:hAnsi="Overpass Light" w:cs="Times New Roman"/>
          <w:b/>
          <w:bCs/>
        </w:rPr>
        <w:t>arrow</w:t>
      </w:r>
      <w:r w:rsidRPr="00EC4138">
        <w:rPr>
          <w:rFonts w:ascii="Overpass Light" w:eastAsia="Overpass Light" w:hAnsi="Overpass Light" w:cs="Times New Roman"/>
          <w:b/>
          <w:bCs/>
        </w:rPr>
        <w:t xml:space="preserve"> </w:t>
      </w:r>
      <w:r w:rsidR="007E6438" w:rsidRPr="00EC4138">
        <w:rPr>
          <w:rFonts w:ascii="Overpass Light" w:eastAsia="Overpass Light" w:hAnsi="Overpass Light" w:cs="Times New Roman"/>
          <w:b/>
          <w:bCs/>
        </w:rPr>
        <w:t xml:space="preserve">existing </w:t>
      </w:r>
      <w:r w:rsidR="00682FE0" w:rsidRPr="00EC4138">
        <w:rPr>
          <w:rFonts w:ascii="Overpass Light" w:eastAsia="Overpass Light" w:hAnsi="Overpass Light" w:cs="Times New Roman"/>
          <w:b/>
          <w:bCs/>
        </w:rPr>
        <w:t>carve-outs which allow religious bodies to discriminate</w:t>
      </w:r>
      <w:r w:rsidR="007E6438" w:rsidRPr="00EC4138">
        <w:rPr>
          <w:rFonts w:ascii="Overpass Light" w:eastAsia="Overpass Light" w:hAnsi="Overpass Light" w:cs="Times New Roman"/>
          <w:b/>
          <w:bCs/>
        </w:rPr>
        <w:t xml:space="preserve"> against employees</w:t>
      </w:r>
      <w:r w:rsidR="000902E0" w:rsidRPr="00EC4138">
        <w:rPr>
          <w:rFonts w:ascii="Overpass Light" w:eastAsia="Overpass Light" w:hAnsi="Overpass Light" w:cs="Times New Roman"/>
          <w:b/>
          <w:bCs/>
        </w:rPr>
        <w:t xml:space="preserve"> or people who rely on their services or supports</w:t>
      </w:r>
      <w:r w:rsidR="00682FE0" w:rsidRPr="00EC4138">
        <w:rPr>
          <w:rFonts w:ascii="Overpass Light" w:eastAsia="Overpass Light" w:hAnsi="Overpass Light" w:cs="Times New Roman"/>
          <w:b/>
          <w:bCs/>
        </w:rPr>
        <w:t xml:space="preserve">, </w:t>
      </w:r>
      <w:r w:rsidR="007E6438" w:rsidRPr="00FF42A1">
        <w:rPr>
          <w:rFonts w:ascii="Overpass Light" w:eastAsia="Overpass Light" w:hAnsi="Overpass Light" w:cs="Times New Roman"/>
        </w:rPr>
        <w:t>by:</w:t>
      </w:r>
    </w:p>
    <w:p w14:paraId="690EC971" w14:textId="6168880E" w:rsidR="007E6438" w:rsidRPr="007E6438" w:rsidRDefault="007E6438" w:rsidP="007E6438">
      <w:pPr>
        <w:numPr>
          <w:ilvl w:val="1"/>
          <w:numId w:val="14"/>
        </w:numPr>
        <w:rPr>
          <w:rFonts w:ascii="Overpass Light" w:eastAsia="Overpass Light" w:hAnsi="Overpass Light" w:cs="Times New Roman"/>
        </w:rPr>
      </w:pPr>
      <w:r w:rsidRPr="007E6438">
        <w:rPr>
          <w:rFonts w:ascii="Overpass Light" w:eastAsia="Overpass Light" w:hAnsi="Overpass Light" w:cs="Times New Roman"/>
        </w:rPr>
        <w:t>introducing a ‘reasonable and proportionate’ test into subsections 26(1)(b), 32(1)(d), 42(2), 42(2), 44 and 46(1) of the Act, such that any discrimination by religious bodies and educational institutions must be reasonable and proportionate in all the circumstances of the case</w:t>
      </w:r>
      <w:r w:rsidR="00786476">
        <w:rPr>
          <w:rFonts w:ascii="Overpass Light" w:eastAsia="Overpass Light" w:hAnsi="Overpass Light" w:cs="Times New Roman"/>
        </w:rPr>
        <w:t>;</w:t>
      </w:r>
    </w:p>
    <w:p w14:paraId="695C531B" w14:textId="1B8F85F0" w:rsidR="007E6438" w:rsidRPr="000902E0" w:rsidRDefault="000902E0" w:rsidP="007E6438">
      <w:pPr>
        <w:numPr>
          <w:ilvl w:val="1"/>
          <w:numId w:val="14"/>
        </w:numPr>
        <w:rPr>
          <w:rStyle w:val="PageNumber"/>
          <w:rFonts w:ascii="Overpass Light" w:eastAsia="Overpass Light" w:hAnsi="Overpass Light" w:cs="Times New Roman"/>
        </w:rPr>
      </w:pPr>
      <w:r>
        <w:t>amending</w:t>
      </w:r>
      <w:r>
        <w:rPr>
          <w:rStyle w:val="PageNumber"/>
        </w:rPr>
        <w:t xml:space="preserve"> </w:t>
      </w:r>
      <w:r w:rsidR="00786476">
        <w:rPr>
          <w:rStyle w:val="PageNumber"/>
        </w:rPr>
        <w:t>sub</w:t>
      </w:r>
      <w:r>
        <w:rPr>
          <w:rStyle w:val="PageNumber"/>
        </w:rPr>
        <w:t>section 32(1)(d) to limit its application to discrimination based on religious conviction only;</w:t>
      </w:r>
      <w:r w:rsidR="00C52151">
        <w:rPr>
          <w:rStyle w:val="PageNumber"/>
        </w:rPr>
        <w:t xml:space="preserve"> and</w:t>
      </w:r>
    </w:p>
    <w:p w14:paraId="5CF11CBE" w14:textId="01D91B68" w:rsidR="000902E0" w:rsidRPr="00C52151" w:rsidRDefault="00786476" w:rsidP="007E6438">
      <w:pPr>
        <w:numPr>
          <w:ilvl w:val="1"/>
          <w:numId w:val="14"/>
        </w:numPr>
        <w:rPr>
          <w:rFonts w:ascii="Overpass Light" w:eastAsia="Overpass Light" w:hAnsi="Overpass Light" w:cs="Times New Roman"/>
        </w:rPr>
      </w:pPr>
      <w:r>
        <w:t xml:space="preserve">requiring religious education institutions to conform </w:t>
      </w:r>
      <w:r w:rsidR="00C52151">
        <w:t xml:space="preserve">to their religious doctrines if they wish to rely on subsection </w:t>
      </w:r>
      <w:r w:rsidR="000902E0">
        <w:t>46(2)(b)</w:t>
      </w:r>
      <w:r w:rsidR="00C52151">
        <w:t>,</w:t>
      </w:r>
    </w:p>
    <w:p w14:paraId="4136C87F" w14:textId="32033311" w:rsidR="00C52151" w:rsidRPr="00C52151" w:rsidRDefault="00C52151" w:rsidP="00C52151">
      <w:pPr>
        <w:ind w:left="714"/>
        <w:rPr>
          <w:rFonts w:ascii="Overpass Light" w:eastAsia="Overpass Light" w:hAnsi="Overpass Light" w:cs="Times New Roman"/>
        </w:rPr>
      </w:pPr>
      <w:r>
        <w:t xml:space="preserve">(see section </w:t>
      </w:r>
      <w:r>
        <w:fldChar w:fldCharType="begin"/>
      </w:r>
      <w:r>
        <w:instrText xml:space="preserve"> REF _Ref94281121 \w \h </w:instrText>
      </w:r>
      <w:r>
        <w:fldChar w:fldCharType="separate"/>
      </w:r>
      <w:r w:rsidR="004109B9">
        <w:t>1</w:t>
      </w:r>
      <w:r>
        <w:fldChar w:fldCharType="end"/>
      </w:r>
      <w:r>
        <w:t xml:space="preserve"> of this submission);</w:t>
      </w:r>
    </w:p>
    <w:p w14:paraId="3FEC74D7" w14:textId="1441F5FA" w:rsidR="00F97D1F" w:rsidRDefault="00567FD7" w:rsidP="00416309">
      <w:pPr>
        <w:numPr>
          <w:ilvl w:val="0"/>
          <w:numId w:val="14"/>
        </w:numPr>
        <w:ind w:left="714" w:hanging="357"/>
        <w:rPr>
          <w:rFonts w:ascii="Overpass Light" w:eastAsia="Overpass Light" w:hAnsi="Overpass Light" w:cs="Times New Roman"/>
        </w:rPr>
      </w:pPr>
      <w:r w:rsidRPr="00EC4138">
        <w:rPr>
          <w:rFonts w:ascii="Overpass Light" w:eastAsia="Overpass Light" w:hAnsi="Overpass Light" w:cs="Times New Roman"/>
          <w:b/>
          <w:bCs/>
        </w:rPr>
        <w:t>B</w:t>
      </w:r>
      <w:r w:rsidR="00416309" w:rsidRPr="00EC4138">
        <w:rPr>
          <w:rFonts w:ascii="Overpass Light" w:eastAsia="Overpass Light" w:hAnsi="Overpass Light" w:cs="Times New Roman"/>
          <w:b/>
          <w:bCs/>
        </w:rPr>
        <w:t>roadening the definition of discrimination</w:t>
      </w:r>
      <w:r w:rsidR="00FF42A1" w:rsidRPr="00EC4138">
        <w:rPr>
          <w:rFonts w:ascii="Overpass Light" w:eastAsia="Overpass Light" w:hAnsi="Overpass Light" w:cs="Times New Roman"/>
          <w:b/>
          <w:bCs/>
        </w:rPr>
        <w:t xml:space="preserve"> in the Act</w:t>
      </w:r>
      <w:r w:rsidR="00FF42A1">
        <w:rPr>
          <w:rFonts w:ascii="Overpass Light" w:eastAsia="Overpass Light" w:hAnsi="Overpass Light" w:cs="Times New Roman"/>
        </w:rPr>
        <w:t xml:space="preserve"> to</w:t>
      </w:r>
      <w:r w:rsidR="00F97D1F">
        <w:rPr>
          <w:rFonts w:ascii="Overpass Light" w:eastAsia="Overpass Light" w:hAnsi="Overpass Light" w:cs="Times New Roman"/>
        </w:rPr>
        <w:t>:</w:t>
      </w:r>
      <w:r w:rsidR="00FF42A1">
        <w:rPr>
          <w:rFonts w:ascii="Overpass Light" w:eastAsia="Overpass Light" w:hAnsi="Overpass Light" w:cs="Times New Roman"/>
        </w:rPr>
        <w:t xml:space="preserve"> </w:t>
      </w:r>
    </w:p>
    <w:p w14:paraId="507DD648" w14:textId="63786C37" w:rsidR="00F97D1F" w:rsidRDefault="007101BB" w:rsidP="00F97D1F">
      <w:pPr>
        <w:numPr>
          <w:ilvl w:val="1"/>
          <w:numId w:val="14"/>
        </w:numPr>
        <w:rPr>
          <w:rFonts w:ascii="Overpass Light" w:eastAsia="Overpass Light" w:hAnsi="Overpass Light" w:cs="Times New Roman"/>
        </w:rPr>
      </w:pPr>
      <w:r>
        <w:rPr>
          <w:rFonts w:ascii="Overpass Light" w:eastAsia="Overpass Light" w:hAnsi="Overpass Light" w:cs="Times New Roman"/>
        </w:rPr>
        <w:t xml:space="preserve">ensure </w:t>
      </w:r>
      <w:r w:rsidR="00FF42A1">
        <w:rPr>
          <w:rFonts w:ascii="Overpass Light" w:eastAsia="Overpass Light" w:hAnsi="Overpass Light" w:cs="Times New Roman"/>
        </w:rPr>
        <w:t xml:space="preserve">it </w:t>
      </w:r>
      <w:r w:rsidR="00E44416">
        <w:rPr>
          <w:rFonts w:ascii="Overpass Light" w:eastAsia="Overpass Light" w:hAnsi="Overpass Light" w:cs="Times New Roman"/>
        </w:rPr>
        <w:t>applies in a more straightforward way to harassment based on protected attributes</w:t>
      </w:r>
      <w:r w:rsidR="00EC4138">
        <w:rPr>
          <w:rFonts w:ascii="Overpass Light" w:eastAsia="Overpass Light" w:hAnsi="Overpass Light" w:cs="Times New Roman"/>
        </w:rPr>
        <w:t xml:space="preserve"> (see section </w:t>
      </w:r>
      <w:r w:rsidR="00EC4138">
        <w:rPr>
          <w:rFonts w:ascii="Overpass Light" w:eastAsia="Overpass Light" w:hAnsi="Overpass Light" w:cs="Times New Roman"/>
        </w:rPr>
        <w:fldChar w:fldCharType="begin"/>
      </w:r>
      <w:r w:rsidR="00EC4138">
        <w:rPr>
          <w:rFonts w:ascii="Overpass Light" w:eastAsia="Overpass Light" w:hAnsi="Overpass Light" w:cs="Times New Roman"/>
        </w:rPr>
        <w:instrText xml:space="preserve"> REF _Ref94284296 \w \h </w:instrText>
      </w:r>
      <w:r w:rsidR="00EC4138">
        <w:rPr>
          <w:rFonts w:ascii="Overpass Light" w:eastAsia="Overpass Light" w:hAnsi="Overpass Light" w:cs="Times New Roman"/>
        </w:rPr>
      </w:r>
      <w:r w:rsidR="00EC4138">
        <w:rPr>
          <w:rFonts w:ascii="Overpass Light" w:eastAsia="Overpass Light" w:hAnsi="Overpass Light" w:cs="Times New Roman"/>
        </w:rPr>
        <w:fldChar w:fldCharType="separate"/>
      </w:r>
      <w:r w:rsidR="004109B9">
        <w:rPr>
          <w:rFonts w:ascii="Overpass Light" w:eastAsia="Overpass Light" w:hAnsi="Overpass Light" w:cs="Times New Roman"/>
        </w:rPr>
        <w:t>2(a)</w:t>
      </w:r>
      <w:r w:rsidR="00EC4138">
        <w:rPr>
          <w:rFonts w:ascii="Overpass Light" w:eastAsia="Overpass Light" w:hAnsi="Overpass Light" w:cs="Times New Roman"/>
        </w:rPr>
        <w:fldChar w:fldCharType="end"/>
      </w:r>
      <w:r w:rsidR="00EC4138">
        <w:rPr>
          <w:rFonts w:ascii="Overpass Light" w:eastAsia="Overpass Light" w:hAnsi="Overpass Light" w:cs="Times New Roman"/>
        </w:rPr>
        <w:t>)</w:t>
      </w:r>
      <w:r w:rsidR="00F97D1F">
        <w:rPr>
          <w:rFonts w:ascii="Overpass Light" w:eastAsia="Overpass Light" w:hAnsi="Overpass Light" w:cs="Times New Roman"/>
        </w:rPr>
        <w:t xml:space="preserve">; </w:t>
      </w:r>
    </w:p>
    <w:p w14:paraId="6BDBCC06" w14:textId="2A31DDD3" w:rsidR="00567FD7" w:rsidRDefault="00F97D1F" w:rsidP="00567FD7">
      <w:pPr>
        <w:numPr>
          <w:ilvl w:val="1"/>
          <w:numId w:val="14"/>
        </w:numPr>
        <w:rPr>
          <w:rFonts w:ascii="Overpass Light" w:eastAsia="Overpass Light" w:hAnsi="Overpass Light" w:cs="Times New Roman"/>
        </w:rPr>
      </w:pPr>
      <w:r w:rsidRPr="00567FD7">
        <w:rPr>
          <w:rFonts w:ascii="Overpass Light" w:eastAsia="Overpass Light" w:hAnsi="Overpass Light" w:cs="Times New Roman"/>
        </w:rPr>
        <w:t>covers ‘practices’ that discriminate indirectly</w:t>
      </w:r>
      <w:r w:rsidR="00EC4138">
        <w:rPr>
          <w:rFonts w:ascii="Overpass Light" w:eastAsia="Overpass Light" w:hAnsi="Overpass Light" w:cs="Times New Roman"/>
        </w:rPr>
        <w:t xml:space="preserve"> (see section </w:t>
      </w:r>
      <w:r w:rsidR="00EC4138">
        <w:rPr>
          <w:rFonts w:ascii="Overpass Light" w:eastAsia="Overpass Light" w:hAnsi="Overpass Light" w:cs="Times New Roman"/>
        </w:rPr>
        <w:fldChar w:fldCharType="begin"/>
      </w:r>
      <w:r w:rsidR="00EC4138">
        <w:rPr>
          <w:rFonts w:ascii="Overpass Light" w:eastAsia="Overpass Light" w:hAnsi="Overpass Light" w:cs="Times New Roman"/>
        </w:rPr>
        <w:instrText xml:space="preserve"> REF _Ref94284306 \w \h </w:instrText>
      </w:r>
      <w:r w:rsidR="00EC4138">
        <w:rPr>
          <w:rFonts w:ascii="Overpass Light" w:eastAsia="Overpass Light" w:hAnsi="Overpass Light" w:cs="Times New Roman"/>
        </w:rPr>
      </w:r>
      <w:r w:rsidR="00EC4138">
        <w:rPr>
          <w:rFonts w:ascii="Overpass Light" w:eastAsia="Overpass Light" w:hAnsi="Overpass Light" w:cs="Times New Roman"/>
        </w:rPr>
        <w:fldChar w:fldCharType="separate"/>
      </w:r>
      <w:r w:rsidR="004109B9">
        <w:rPr>
          <w:rFonts w:ascii="Overpass Light" w:eastAsia="Overpass Light" w:hAnsi="Overpass Light" w:cs="Times New Roman"/>
        </w:rPr>
        <w:t>2(b)</w:t>
      </w:r>
      <w:r w:rsidR="00EC4138">
        <w:rPr>
          <w:rFonts w:ascii="Overpass Light" w:eastAsia="Overpass Light" w:hAnsi="Overpass Light" w:cs="Times New Roman"/>
        </w:rPr>
        <w:fldChar w:fldCharType="end"/>
      </w:r>
      <w:r w:rsidR="00EC4138">
        <w:rPr>
          <w:rFonts w:ascii="Overpass Light" w:eastAsia="Overpass Light" w:hAnsi="Overpass Light" w:cs="Times New Roman"/>
        </w:rPr>
        <w:t>)</w:t>
      </w:r>
      <w:r w:rsidR="00567FD7">
        <w:rPr>
          <w:rFonts w:ascii="Overpass Light" w:eastAsia="Overpass Light" w:hAnsi="Overpass Light" w:cs="Times New Roman"/>
        </w:rPr>
        <w:t>.</w:t>
      </w:r>
    </w:p>
    <w:p w14:paraId="63A41D31" w14:textId="632B4CB6" w:rsidR="00567FD7" w:rsidRDefault="00EC4138" w:rsidP="00EC4138">
      <w:pPr>
        <w:ind w:left="720"/>
        <w:rPr>
          <w:rFonts w:ascii="Overpass Light" w:eastAsia="Overpass Light" w:hAnsi="Overpass Light" w:cs="Times New Roman"/>
        </w:rPr>
      </w:pPr>
      <w:r>
        <w:t xml:space="preserve">We also suggest considering adding an additional definition of discrimination, </w:t>
      </w:r>
      <w:r w:rsidR="007101BB" w:rsidRPr="00567FD7">
        <w:rPr>
          <w:rFonts w:ascii="Overpass Light" w:eastAsia="Overpass Light" w:hAnsi="Overpass Light" w:cs="Times New Roman"/>
        </w:rPr>
        <w:t xml:space="preserve">based on </w:t>
      </w:r>
      <w:r w:rsidR="00E715F4" w:rsidRPr="00567FD7">
        <w:rPr>
          <w:rFonts w:ascii="Overpass Light" w:eastAsia="Overpass Light" w:hAnsi="Overpass Light" w:cs="Times New Roman"/>
        </w:rPr>
        <w:t xml:space="preserve">international human rights law, that </w:t>
      </w:r>
      <w:r w:rsidR="00567FD7" w:rsidRPr="00567FD7">
        <w:rPr>
          <w:rFonts w:ascii="Overpass Light" w:eastAsia="Overpass Light" w:hAnsi="Overpass Light" w:cs="Times New Roman"/>
        </w:rPr>
        <w:t>covers any distinction, exclusion, restriction or preference which has the purpose or effect of impairing the equal enjoyment of any human right, and which is not justified</w:t>
      </w:r>
      <w:r>
        <w:rPr>
          <w:rFonts w:ascii="Overpass Light" w:eastAsia="Overpass Light" w:hAnsi="Overpass Light" w:cs="Times New Roman"/>
        </w:rPr>
        <w:t xml:space="preserve"> (see section </w:t>
      </w:r>
      <w:r>
        <w:rPr>
          <w:rFonts w:ascii="Overpass Light" w:eastAsia="Overpass Light" w:hAnsi="Overpass Light" w:cs="Times New Roman"/>
        </w:rPr>
        <w:fldChar w:fldCharType="begin"/>
      </w:r>
      <w:r>
        <w:rPr>
          <w:rFonts w:ascii="Overpass Light" w:eastAsia="Overpass Light" w:hAnsi="Overpass Light" w:cs="Times New Roman"/>
        </w:rPr>
        <w:instrText xml:space="preserve"> REF _Ref94280815 \w \h </w:instrText>
      </w:r>
      <w:r>
        <w:rPr>
          <w:rFonts w:ascii="Overpass Light" w:eastAsia="Overpass Light" w:hAnsi="Overpass Light" w:cs="Times New Roman"/>
        </w:rPr>
      </w:r>
      <w:r>
        <w:rPr>
          <w:rFonts w:ascii="Overpass Light" w:eastAsia="Overpass Light" w:hAnsi="Overpass Light" w:cs="Times New Roman"/>
        </w:rPr>
        <w:fldChar w:fldCharType="separate"/>
      </w:r>
      <w:r w:rsidR="004109B9">
        <w:rPr>
          <w:rFonts w:ascii="Overpass Light" w:eastAsia="Overpass Light" w:hAnsi="Overpass Light" w:cs="Times New Roman"/>
        </w:rPr>
        <w:t>2(c)</w:t>
      </w:r>
      <w:r>
        <w:rPr>
          <w:rFonts w:ascii="Overpass Light" w:eastAsia="Overpass Light" w:hAnsi="Overpass Light" w:cs="Times New Roman"/>
        </w:rPr>
        <w:fldChar w:fldCharType="end"/>
      </w:r>
      <w:r w:rsidR="00EB37B5">
        <w:rPr>
          <w:rFonts w:ascii="Overpass Light" w:eastAsia="Overpass Light" w:hAnsi="Overpass Light" w:cs="Times New Roman"/>
        </w:rPr>
        <w:t>).</w:t>
      </w:r>
    </w:p>
    <w:p w14:paraId="631FD9B8" w14:textId="75BE7492" w:rsidR="00416309" w:rsidRPr="00FD2540" w:rsidRDefault="00EB37B5" w:rsidP="00416309">
      <w:pPr>
        <w:numPr>
          <w:ilvl w:val="0"/>
          <w:numId w:val="14"/>
        </w:numPr>
        <w:ind w:left="714" w:hanging="357"/>
        <w:rPr>
          <w:rFonts w:ascii="Overpass Light" w:eastAsia="Overpass Light" w:hAnsi="Overpass Light" w:cs="Times New Roman"/>
        </w:rPr>
      </w:pPr>
      <w:r w:rsidRPr="00EB37B5">
        <w:rPr>
          <w:b/>
          <w:bCs/>
        </w:rPr>
        <w:t>I</w:t>
      </w:r>
      <w:r w:rsidR="00416309" w:rsidRPr="00EB37B5">
        <w:rPr>
          <w:b/>
          <w:bCs/>
        </w:rPr>
        <w:t>ntroduc</w:t>
      </w:r>
      <w:r w:rsidRPr="00EB37B5">
        <w:rPr>
          <w:b/>
          <w:bCs/>
        </w:rPr>
        <w:t>e</w:t>
      </w:r>
      <w:r w:rsidR="00416309" w:rsidRPr="00EB37B5">
        <w:rPr>
          <w:b/>
          <w:bCs/>
        </w:rPr>
        <w:t xml:space="preserve"> a positive duty</w:t>
      </w:r>
      <w:r w:rsidR="00416309">
        <w:t xml:space="preserve"> to take reasonable and proportionate steps to</w:t>
      </w:r>
      <w:r w:rsidR="00294E57">
        <w:t xml:space="preserve"> promote equality (including</w:t>
      </w:r>
      <w:r w:rsidR="00416309">
        <w:t xml:space="preserve"> eliminat</w:t>
      </w:r>
      <w:r w:rsidR="00294E57">
        <w:t>ing</w:t>
      </w:r>
      <w:r w:rsidR="00416309">
        <w:t xml:space="preserve"> discrimination</w:t>
      </w:r>
      <w:r w:rsidR="00294E57">
        <w:t>,</w:t>
      </w:r>
      <w:r w:rsidR="00416309">
        <w:t xml:space="preserve"> harassment, vilification and victimisation) on persons who hold obligations under the Act (see section</w:t>
      </w:r>
      <w:r w:rsidR="0044264E">
        <w:t xml:space="preserve"> </w:t>
      </w:r>
      <w:r>
        <w:fldChar w:fldCharType="begin"/>
      </w:r>
      <w:r>
        <w:instrText xml:space="preserve"> REF _Ref94283067 \w \h </w:instrText>
      </w:r>
      <w:r>
        <w:fldChar w:fldCharType="separate"/>
      </w:r>
      <w:r w:rsidR="004109B9">
        <w:t>3</w:t>
      </w:r>
      <w:r>
        <w:fldChar w:fldCharType="end"/>
      </w:r>
      <w:r w:rsidR="00416309">
        <w:t>)</w:t>
      </w:r>
      <w:r w:rsidR="0044264E">
        <w:t>.</w:t>
      </w:r>
    </w:p>
    <w:p w14:paraId="57F05696" w14:textId="3AF0D454" w:rsidR="00416309" w:rsidRDefault="00EB37B5" w:rsidP="00416309">
      <w:pPr>
        <w:numPr>
          <w:ilvl w:val="0"/>
          <w:numId w:val="14"/>
        </w:numPr>
        <w:ind w:left="714" w:hanging="357"/>
        <w:rPr>
          <w:rFonts w:ascii="Overpass Light" w:eastAsia="Overpass Light" w:hAnsi="Overpass Light" w:cs="Times New Roman"/>
        </w:rPr>
      </w:pPr>
      <w:r w:rsidRPr="0044264E">
        <w:rPr>
          <w:rFonts w:ascii="Overpass Light" w:eastAsia="Overpass Light" w:hAnsi="Overpass Light" w:cs="Times New Roman"/>
          <w:b/>
          <w:bCs/>
        </w:rPr>
        <w:t>Introduce new protections against hate-based conduct</w:t>
      </w:r>
      <w:r>
        <w:rPr>
          <w:rFonts w:ascii="Overpass Light" w:eastAsia="Overpass Light" w:hAnsi="Overpass Light" w:cs="Times New Roman"/>
        </w:rPr>
        <w:t xml:space="preserve"> </w:t>
      </w:r>
      <w:r w:rsidR="0044264E">
        <w:rPr>
          <w:rFonts w:ascii="Overpass Light" w:eastAsia="Overpass Light" w:hAnsi="Overpass Light" w:cs="Times New Roman"/>
        </w:rPr>
        <w:t xml:space="preserve">in the Act and in the </w:t>
      </w:r>
      <w:r w:rsidR="0044264E">
        <w:rPr>
          <w:i/>
          <w:iCs/>
        </w:rPr>
        <w:t xml:space="preserve">Crimes (Sentencing) Act 2005 </w:t>
      </w:r>
      <w:r w:rsidR="0044264E" w:rsidRPr="002C7A8F">
        <w:t>(ACT)</w:t>
      </w:r>
      <w:r w:rsidR="00AB31F2">
        <w:rPr>
          <w:rFonts w:ascii="Overpass Light" w:eastAsia="Overpass Light" w:hAnsi="Overpass Light" w:cs="Times New Roman"/>
        </w:rPr>
        <w:t xml:space="preserve">. </w:t>
      </w:r>
      <w:r w:rsidR="0044264E">
        <w:rPr>
          <w:rFonts w:ascii="Overpass Light" w:eastAsia="Overpass Light" w:hAnsi="Overpass Light" w:cs="Times New Roman"/>
        </w:rPr>
        <w:t xml:space="preserve">This should include </w:t>
      </w:r>
      <w:r w:rsidR="007A1574">
        <w:rPr>
          <w:rFonts w:ascii="Overpass Light" w:eastAsia="Overpass Light" w:hAnsi="Overpass Light" w:cs="Times New Roman"/>
        </w:rPr>
        <w:t>lowering the threshold</w:t>
      </w:r>
      <w:r w:rsidR="001E1D79">
        <w:rPr>
          <w:rFonts w:ascii="Overpass Light" w:eastAsia="Overpass Light" w:hAnsi="Overpass Light" w:cs="Times New Roman"/>
        </w:rPr>
        <w:t xml:space="preserve"> for vilification, introducing </w:t>
      </w:r>
      <w:r w:rsidR="0044264E">
        <w:t>complementary civil and criminal</w:t>
      </w:r>
      <w:r w:rsidR="008D38FB">
        <w:t xml:space="preserve"> harm-based</w:t>
      </w:r>
      <w:r w:rsidR="0044264E">
        <w:t xml:space="preserve"> protections against hate-based conduct, and </w:t>
      </w:r>
      <w:r w:rsidR="008D38FB">
        <w:t xml:space="preserve">introducing </w:t>
      </w:r>
      <w:r w:rsidR="0044264E">
        <w:t xml:space="preserve">a sentencing consideration for hate crimes </w:t>
      </w:r>
      <w:r w:rsidR="0044264E">
        <w:rPr>
          <w:rFonts w:ascii="Overpass Light" w:eastAsia="Overpass Light" w:hAnsi="Overpass Light" w:cs="Times New Roman"/>
        </w:rPr>
        <w:t xml:space="preserve">(see section </w:t>
      </w:r>
      <w:r w:rsidR="0044264E">
        <w:rPr>
          <w:rFonts w:ascii="Overpass Light" w:eastAsia="Overpass Light" w:hAnsi="Overpass Light" w:cs="Times New Roman"/>
        </w:rPr>
        <w:fldChar w:fldCharType="begin"/>
      </w:r>
      <w:r w:rsidR="0044264E">
        <w:rPr>
          <w:rFonts w:ascii="Overpass Light" w:eastAsia="Overpass Light" w:hAnsi="Overpass Light" w:cs="Times New Roman"/>
        </w:rPr>
        <w:instrText xml:space="preserve"> REF _Ref94284444 \w \h </w:instrText>
      </w:r>
      <w:r w:rsidR="0044264E">
        <w:rPr>
          <w:rFonts w:ascii="Overpass Light" w:eastAsia="Overpass Light" w:hAnsi="Overpass Light" w:cs="Times New Roman"/>
        </w:rPr>
      </w:r>
      <w:r w:rsidR="0044264E">
        <w:rPr>
          <w:rFonts w:ascii="Overpass Light" w:eastAsia="Overpass Light" w:hAnsi="Overpass Light" w:cs="Times New Roman"/>
        </w:rPr>
        <w:fldChar w:fldCharType="separate"/>
      </w:r>
      <w:r w:rsidR="004109B9">
        <w:rPr>
          <w:rFonts w:ascii="Overpass Light" w:eastAsia="Overpass Light" w:hAnsi="Overpass Light" w:cs="Times New Roman"/>
        </w:rPr>
        <w:t>4</w:t>
      </w:r>
      <w:r w:rsidR="0044264E">
        <w:rPr>
          <w:rFonts w:ascii="Overpass Light" w:eastAsia="Overpass Light" w:hAnsi="Overpass Light" w:cs="Times New Roman"/>
        </w:rPr>
        <w:fldChar w:fldCharType="end"/>
      </w:r>
      <w:r w:rsidR="0044264E">
        <w:rPr>
          <w:rFonts w:ascii="Overpass Light" w:eastAsia="Overpass Light" w:hAnsi="Overpass Light" w:cs="Times New Roman"/>
        </w:rPr>
        <w:t>)</w:t>
      </w:r>
      <w:r w:rsidR="0044264E">
        <w:t>.</w:t>
      </w:r>
    </w:p>
    <w:p w14:paraId="3A36A42A" w14:textId="77569277" w:rsidR="00416309" w:rsidRPr="00FD2540" w:rsidRDefault="00345020" w:rsidP="00416309">
      <w:pPr>
        <w:numPr>
          <w:ilvl w:val="0"/>
          <w:numId w:val="14"/>
        </w:numPr>
        <w:ind w:left="714" w:hanging="357"/>
        <w:rPr>
          <w:rFonts w:ascii="Overpass Light" w:eastAsia="Overpass Light" w:hAnsi="Overpass Light" w:cs="Times New Roman"/>
        </w:rPr>
      </w:pPr>
      <w:r w:rsidRPr="00345020">
        <w:rPr>
          <w:b/>
          <w:bCs/>
        </w:rPr>
        <w:t>C</w:t>
      </w:r>
      <w:r w:rsidR="00416309" w:rsidRPr="00345020">
        <w:rPr>
          <w:b/>
          <w:bCs/>
        </w:rPr>
        <w:t xml:space="preserve">onsider including new </w:t>
      </w:r>
      <w:r w:rsidRPr="00345020">
        <w:rPr>
          <w:b/>
          <w:bCs/>
        </w:rPr>
        <w:t xml:space="preserve">‘equality before the law’ </w:t>
      </w:r>
      <w:r w:rsidR="00416309" w:rsidRPr="00345020">
        <w:rPr>
          <w:b/>
          <w:bCs/>
        </w:rPr>
        <w:t>provision</w:t>
      </w:r>
      <w:r w:rsidRPr="00345020">
        <w:rPr>
          <w:b/>
          <w:bCs/>
        </w:rPr>
        <w:t>s</w:t>
      </w:r>
      <w:r w:rsidR="00416309">
        <w:t xml:space="preserve"> that would enable an individual to challenge a law</w:t>
      </w:r>
      <w:r w:rsidR="00514E79">
        <w:t xml:space="preserve"> or </w:t>
      </w:r>
      <w:r w:rsidR="00416309">
        <w:t xml:space="preserve">the administration of a </w:t>
      </w:r>
      <w:r>
        <w:t xml:space="preserve">Territory </w:t>
      </w:r>
      <w:r w:rsidR="00416309">
        <w:t>law</w:t>
      </w:r>
      <w:r>
        <w:t xml:space="preserve"> or program</w:t>
      </w:r>
      <w:r w:rsidR="00416309">
        <w:t xml:space="preserve"> that discriminates against them based on a protected attribute (see section</w:t>
      </w:r>
      <w:r>
        <w:t xml:space="preserve"> </w:t>
      </w:r>
      <w:r>
        <w:fldChar w:fldCharType="begin"/>
      </w:r>
      <w:r>
        <w:instrText xml:space="preserve"> REF _Ref94281055 \w \h </w:instrText>
      </w:r>
      <w:r>
        <w:fldChar w:fldCharType="separate"/>
      </w:r>
      <w:r w:rsidR="004109B9">
        <w:t>5</w:t>
      </w:r>
      <w:r>
        <w:fldChar w:fldCharType="end"/>
      </w:r>
      <w:r w:rsidR="00416309">
        <w:t>); and</w:t>
      </w:r>
    </w:p>
    <w:p w14:paraId="5D44B9C5" w14:textId="100B412E" w:rsidR="00416309" w:rsidRPr="00514E79" w:rsidRDefault="00514E79" w:rsidP="00416309">
      <w:pPr>
        <w:numPr>
          <w:ilvl w:val="0"/>
          <w:numId w:val="14"/>
        </w:numPr>
        <w:ind w:left="714" w:hanging="357"/>
        <w:rPr>
          <w:rFonts w:ascii="Overpass Light" w:eastAsia="Overpass Light" w:hAnsi="Overpass Light" w:cs="Times New Roman"/>
        </w:rPr>
      </w:pPr>
      <w:r w:rsidRPr="00514E79">
        <w:rPr>
          <w:b/>
          <w:bCs/>
        </w:rPr>
        <w:lastRenderedPageBreak/>
        <w:t>Amend the Act to use gender inclusive language,</w:t>
      </w:r>
      <w:r>
        <w:t xml:space="preserve"> including by ensuring the pregnancy, childbirth and breastfeeding protections protect all persons whose bodies are inherently capable of carrying, giving birth or feeding children </w:t>
      </w:r>
      <w:r w:rsidR="00416309">
        <w:t>(see section</w:t>
      </w:r>
      <w:r>
        <w:t xml:space="preserve"> </w:t>
      </w:r>
      <w:r>
        <w:fldChar w:fldCharType="begin"/>
      </w:r>
      <w:r>
        <w:instrText xml:space="preserve"> REF _Ref94284758 \w \h </w:instrText>
      </w:r>
      <w:r>
        <w:fldChar w:fldCharType="separate"/>
      </w:r>
      <w:r w:rsidR="004109B9">
        <w:t>6</w:t>
      </w:r>
      <w:r>
        <w:fldChar w:fldCharType="end"/>
      </w:r>
      <w:r w:rsidR="00416309">
        <w:t>).</w:t>
      </w:r>
    </w:p>
    <w:p w14:paraId="6F6C2122" w14:textId="421952A7" w:rsidR="00514E79" w:rsidRPr="00F5285D" w:rsidRDefault="00514E79" w:rsidP="00416309">
      <w:pPr>
        <w:numPr>
          <w:ilvl w:val="0"/>
          <w:numId w:val="14"/>
        </w:numPr>
        <w:ind w:left="714" w:hanging="357"/>
        <w:rPr>
          <w:rFonts w:ascii="Overpass Light" w:eastAsia="Overpass Light" w:hAnsi="Overpass Light" w:cs="Times New Roman"/>
        </w:rPr>
      </w:pPr>
      <w:bookmarkStart w:id="3" w:name="_Ref94284817"/>
      <w:r>
        <w:rPr>
          <w:b/>
          <w:bCs/>
        </w:rPr>
        <w:t xml:space="preserve">Rename the Act to the Equality Act, </w:t>
      </w:r>
      <w:r>
        <w:t xml:space="preserve">as a strong statement of the Act’s intention and purpose (see section </w:t>
      </w:r>
      <w:r>
        <w:fldChar w:fldCharType="begin"/>
      </w:r>
      <w:r>
        <w:instrText xml:space="preserve"> REF _Ref94284817 \w \h </w:instrText>
      </w:r>
      <w:r>
        <w:fldChar w:fldCharType="separate"/>
      </w:r>
      <w:r w:rsidR="004109B9">
        <w:t>7</w:t>
      </w:r>
      <w:r>
        <w:fldChar w:fldCharType="end"/>
      </w:r>
      <w:r>
        <w:t>).</w:t>
      </w:r>
      <w:bookmarkEnd w:id="3"/>
    </w:p>
    <w:p w14:paraId="3097A497" w14:textId="77777777" w:rsidR="00416309" w:rsidRPr="00F5285D" w:rsidRDefault="00416309" w:rsidP="00416309">
      <w:pPr>
        <w:rPr>
          <w:rFonts w:ascii="Overpass Light" w:eastAsia="Overpass Light" w:hAnsi="Overpass Light" w:cs="Times New Roman"/>
        </w:rPr>
      </w:pPr>
      <w:r w:rsidRPr="00F5285D">
        <w:rPr>
          <w:rFonts w:ascii="Overpass Light" w:eastAsia="Overpass Light" w:hAnsi="Overpass Light" w:cs="Times New Roman"/>
        </w:rPr>
        <w:t>In this submission, we set out our submissions in respect of each of these key areas</w:t>
      </w:r>
      <w:r w:rsidRPr="00410887">
        <w:rPr>
          <w:rFonts w:ascii="Overpass Light" w:eastAsia="Overpass Light" w:hAnsi="Overpass Light" w:cs="Times New Roman"/>
        </w:rPr>
        <w:t xml:space="preserve">, and provide further detailed submissions on technical matters set out in the Discussion Paper in </w:t>
      </w:r>
      <w:r>
        <w:rPr>
          <w:rFonts w:ascii="Overpass Light" w:eastAsia="Overpass Light" w:hAnsi="Overpass Light" w:cs="Times New Roman"/>
        </w:rPr>
        <w:t>the</w:t>
      </w:r>
      <w:r w:rsidRPr="00410887">
        <w:rPr>
          <w:rFonts w:ascii="Overpass Light" w:eastAsia="Overpass Light" w:hAnsi="Overpass Light" w:cs="Times New Roman"/>
        </w:rPr>
        <w:t xml:space="preserve"> schedule at the end of this submission.</w:t>
      </w:r>
    </w:p>
    <w:p w14:paraId="44920F85" w14:textId="77777777" w:rsidR="00416309" w:rsidRDefault="00416309" w:rsidP="00416309">
      <w:r w:rsidRPr="00F5285D">
        <w:rPr>
          <w:rFonts w:ascii="Overpass Light" w:eastAsia="Overpass Light" w:hAnsi="Overpass Light" w:cs="Times New Roman"/>
        </w:rPr>
        <w:t xml:space="preserve">We would be very happy to discuss these matters or provide further information at </w:t>
      </w:r>
      <w:r>
        <w:rPr>
          <w:rFonts w:ascii="Overpass Light" w:eastAsia="Overpass Light" w:hAnsi="Overpass Light" w:cs="Times New Roman"/>
        </w:rPr>
        <w:t>your request</w:t>
      </w:r>
      <w:r>
        <w:t>.</w:t>
      </w:r>
    </w:p>
    <w:bookmarkEnd w:id="2"/>
    <w:p w14:paraId="66DCA0F5" w14:textId="01DCACCB" w:rsidR="00E92186" w:rsidRDefault="00E92186">
      <w:pPr>
        <w:spacing w:before="0" w:after="160" w:line="259" w:lineRule="auto"/>
      </w:pPr>
      <w:r>
        <w:br w:type="page"/>
      </w:r>
    </w:p>
    <w:p w14:paraId="09DDA843" w14:textId="4E9C4E9C" w:rsidR="009C1CB4" w:rsidRDefault="00B626AB" w:rsidP="00E92186">
      <w:pPr>
        <w:pStyle w:val="Section"/>
      </w:pPr>
      <w:bookmarkStart w:id="4" w:name="_Toc94283544"/>
      <w:r>
        <w:lastRenderedPageBreak/>
        <w:t>Playing by the same rules</w:t>
      </w:r>
      <w:bookmarkEnd w:id="4"/>
    </w:p>
    <w:p w14:paraId="29EFCAB5" w14:textId="7613C715" w:rsidR="0095661C" w:rsidRPr="0095661C" w:rsidRDefault="0095661C" w:rsidP="0095661C">
      <w:pPr>
        <w:pStyle w:val="NoSpacing"/>
        <w:rPr>
          <w:rStyle w:val="Strong"/>
        </w:rPr>
      </w:pPr>
      <w:r w:rsidRPr="0095661C">
        <w:rPr>
          <w:rStyle w:val="Strong"/>
        </w:rPr>
        <w:t xml:space="preserve">All employers and organisations </w:t>
      </w:r>
      <w:r w:rsidR="0055682C">
        <w:rPr>
          <w:rStyle w:val="Strong"/>
        </w:rPr>
        <w:t>provid</w:t>
      </w:r>
      <w:r w:rsidR="006E5962">
        <w:rPr>
          <w:rStyle w:val="Strong"/>
        </w:rPr>
        <w:t>ing goods,</w:t>
      </w:r>
      <w:r w:rsidRPr="0095661C">
        <w:rPr>
          <w:rStyle w:val="Strong"/>
        </w:rPr>
        <w:t xml:space="preserve"> services</w:t>
      </w:r>
      <w:r w:rsidR="006E5962">
        <w:rPr>
          <w:rStyle w:val="Strong"/>
        </w:rPr>
        <w:t>, facilities, premises or accommodation</w:t>
      </w:r>
      <w:r w:rsidRPr="0095661C">
        <w:rPr>
          <w:rStyle w:val="Strong"/>
        </w:rPr>
        <w:t xml:space="preserve"> to the public should play by the same rules</w:t>
      </w:r>
      <w:r w:rsidR="00AB31F2">
        <w:rPr>
          <w:rStyle w:val="Strong"/>
        </w:rPr>
        <w:t xml:space="preserve">. </w:t>
      </w:r>
      <w:r w:rsidRPr="0095661C">
        <w:rPr>
          <w:rStyle w:val="Strong"/>
        </w:rPr>
        <w:t xml:space="preserve">However, outdated carve-outs for </w:t>
      </w:r>
      <w:r w:rsidR="006E5962">
        <w:rPr>
          <w:rStyle w:val="Strong"/>
        </w:rPr>
        <w:t>religious bodies</w:t>
      </w:r>
      <w:r w:rsidRPr="0095661C">
        <w:rPr>
          <w:rStyle w:val="Strong"/>
        </w:rPr>
        <w:t xml:space="preserve"> mean that LGBT</w:t>
      </w:r>
      <w:r w:rsidR="00E37262">
        <w:rPr>
          <w:rStyle w:val="Strong"/>
        </w:rPr>
        <w:t>I</w:t>
      </w:r>
      <w:r w:rsidRPr="0095661C">
        <w:rPr>
          <w:rStyle w:val="Strong"/>
        </w:rPr>
        <w:t>Q+ people and others can be fired, expelled, or discriminated against, even when religion is not relevant to the role being performed or the services</w:t>
      </w:r>
      <w:r w:rsidR="00027D94">
        <w:rPr>
          <w:rStyle w:val="Strong"/>
        </w:rPr>
        <w:t xml:space="preserve"> or supports</w:t>
      </w:r>
      <w:r w:rsidRPr="0095661C">
        <w:rPr>
          <w:rStyle w:val="Strong"/>
        </w:rPr>
        <w:t xml:space="preserve"> </w:t>
      </w:r>
      <w:r w:rsidR="008B0066">
        <w:rPr>
          <w:rStyle w:val="Strong"/>
        </w:rPr>
        <w:t>they</w:t>
      </w:r>
      <w:r w:rsidRPr="0095661C">
        <w:rPr>
          <w:rStyle w:val="Strong"/>
        </w:rPr>
        <w:t xml:space="preserve"> deliver</w:t>
      </w:r>
      <w:r w:rsidR="00AB31F2">
        <w:rPr>
          <w:rStyle w:val="Strong"/>
        </w:rPr>
        <w:t xml:space="preserve">. </w:t>
      </w:r>
      <w:r w:rsidRPr="0095661C">
        <w:rPr>
          <w:rStyle w:val="Strong"/>
        </w:rPr>
        <w:t xml:space="preserve">Outdated carve-outs must be removed to ensure a person’s </w:t>
      </w:r>
      <w:r w:rsidR="003547A8">
        <w:rPr>
          <w:rStyle w:val="Strong"/>
        </w:rPr>
        <w:t>sexuality</w:t>
      </w:r>
      <w:r w:rsidR="00027D94">
        <w:rPr>
          <w:rStyle w:val="Strong"/>
        </w:rPr>
        <w:t>,</w:t>
      </w:r>
      <w:r w:rsidRPr="0095661C">
        <w:rPr>
          <w:rStyle w:val="Strong"/>
        </w:rPr>
        <w:t xml:space="preserve"> gender identity</w:t>
      </w:r>
      <w:r w:rsidR="00027D94">
        <w:rPr>
          <w:rStyle w:val="Strong"/>
        </w:rPr>
        <w:t xml:space="preserve"> or sex characteristics</w:t>
      </w:r>
      <w:r w:rsidRPr="0095661C">
        <w:rPr>
          <w:rStyle w:val="Strong"/>
        </w:rPr>
        <w:t xml:space="preserve"> do not limit where they can work, study or access services</w:t>
      </w:r>
      <w:r w:rsidR="00027D94">
        <w:rPr>
          <w:rStyle w:val="Strong"/>
        </w:rPr>
        <w:t xml:space="preserve"> and support</w:t>
      </w:r>
      <w:r w:rsidR="00AB31F2">
        <w:rPr>
          <w:rStyle w:val="Strong"/>
        </w:rPr>
        <w:t xml:space="preserve">. </w:t>
      </w:r>
    </w:p>
    <w:p w14:paraId="68F88F45" w14:textId="365841DB" w:rsidR="008C1505" w:rsidRPr="008C1505" w:rsidRDefault="00B626AB" w:rsidP="00B626AB">
      <w:pPr>
        <w:pStyle w:val="Heading1"/>
      </w:pPr>
      <w:bookmarkStart w:id="5" w:name="_Ref94281121"/>
      <w:bookmarkStart w:id="6" w:name="_Toc94283545"/>
      <w:r>
        <w:t>Ensuring religious bodies play by the same rules</w:t>
      </w:r>
      <w:bookmarkEnd w:id="5"/>
      <w:bookmarkEnd w:id="6"/>
    </w:p>
    <w:p w14:paraId="6CF62F0F" w14:textId="4450CB85" w:rsidR="0004642C" w:rsidRDefault="0004642C" w:rsidP="00BB79D2">
      <w:pPr>
        <w:pStyle w:val="Heading2"/>
      </w:pPr>
      <w:bookmarkStart w:id="7" w:name="_Toc94283546"/>
      <w:r>
        <w:t>Religious exceptions</w:t>
      </w:r>
      <w:bookmarkEnd w:id="7"/>
    </w:p>
    <w:p w14:paraId="06880604" w14:textId="65B100B5" w:rsidR="00C85C5C" w:rsidRDefault="00C85C5C" w:rsidP="00C85C5C">
      <w:r>
        <w:t xml:space="preserve">Currently, the Act contains special </w:t>
      </w:r>
      <w:r w:rsidR="006125F8">
        <w:t>carve-outs</w:t>
      </w:r>
      <w:r>
        <w:t xml:space="preserve"> for religious bodies</w:t>
      </w:r>
      <w:r w:rsidR="006125F8">
        <w:t xml:space="preserve"> and</w:t>
      </w:r>
      <w:r>
        <w:t xml:space="preserve"> religious educational institutions</w:t>
      </w:r>
      <w:r w:rsidR="00AB31F2">
        <w:t xml:space="preserve">. </w:t>
      </w:r>
      <w:r w:rsidR="007A79DF">
        <w:t>These carve-outs allow religious bodies and educational institutions to discriminate against employees, students and</w:t>
      </w:r>
      <w:r w:rsidR="005E61F4">
        <w:t xml:space="preserve"> people who rely on their </w:t>
      </w:r>
      <w:r w:rsidR="00184945">
        <w:t>services or support</w:t>
      </w:r>
      <w:r w:rsidR="00AB31F2">
        <w:t xml:space="preserve">. </w:t>
      </w:r>
      <w:r w:rsidR="006125F8">
        <w:t>Some of these exceptions apply to the attribute of religious conviction</w:t>
      </w:r>
      <w:r w:rsidR="00EE7CD4">
        <w:t xml:space="preserve"> only, while others </w:t>
      </w:r>
      <w:r w:rsidR="00DA52D2">
        <w:t xml:space="preserve">allow religious bodies </w:t>
      </w:r>
      <w:r w:rsidR="003547A8">
        <w:t>to discriminate based on any attribute, including sexuality, gender identity and sex characteristics</w:t>
      </w:r>
      <w:r w:rsidR="00AB31F2">
        <w:t xml:space="preserve">. </w:t>
      </w:r>
      <w:r w:rsidR="00184945">
        <w:t xml:space="preserve">As discussed below, in practice, the distinction between the attributes of religious conviction and </w:t>
      </w:r>
      <w:r w:rsidR="00DD77A7">
        <w:t>other attributes are often conflated</w:t>
      </w:r>
      <w:r w:rsidR="003B6AFE">
        <w:t xml:space="preserve"> in the way that </w:t>
      </w:r>
      <w:r w:rsidR="009851CB">
        <w:t>discriminatory conduct</w:t>
      </w:r>
      <w:r w:rsidR="003B6AFE">
        <w:t xml:space="preserve"> is characteris</w:t>
      </w:r>
      <w:r w:rsidR="009851CB">
        <w:t>ed</w:t>
      </w:r>
      <w:r w:rsidR="00DD77A7">
        <w:t xml:space="preserve">, meaning </w:t>
      </w:r>
      <w:r w:rsidR="00267AAF">
        <w:t xml:space="preserve">all </w:t>
      </w:r>
      <w:r w:rsidR="003B6AFE">
        <w:t>religious exemptions need to be considered and evaluated together</w:t>
      </w:r>
      <w:r w:rsidR="00AB31F2">
        <w:t xml:space="preserve">. </w:t>
      </w:r>
      <w:r w:rsidR="001A1E8C">
        <w:t xml:space="preserve">In particular, religious bodies tend to </w:t>
      </w:r>
      <w:r w:rsidR="00DF5577">
        <w:t xml:space="preserve">frame their discriminatory requirements </w:t>
      </w:r>
      <w:r w:rsidR="00B52E07">
        <w:t xml:space="preserve">in terms of </w:t>
      </w:r>
      <w:r w:rsidR="00DF5577">
        <w:t>beliefs</w:t>
      </w:r>
      <w:r w:rsidR="00B52E07">
        <w:t xml:space="preserve"> and conduct</w:t>
      </w:r>
      <w:r w:rsidR="00DF5577">
        <w:t xml:space="preserve"> concerning sexuality or gender</w:t>
      </w:r>
      <w:r w:rsidR="00B52E07">
        <w:t>, rather than whether the person is themselves</w:t>
      </w:r>
      <w:r w:rsidR="00435453">
        <w:t xml:space="preserve"> LGBTIQ+.</w:t>
      </w:r>
    </w:p>
    <w:p w14:paraId="613F0F71" w14:textId="5099714C" w:rsidR="008332B4" w:rsidRDefault="008332B4" w:rsidP="00C85C5C">
      <w:r>
        <w:t xml:space="preserve">The </w:t>
      </w:r>
      <w:r w:rsidR="00AB3F3E">
        <w:t xml:space="preserve">specific </w:t>
      </w:r>
      <w:r>
        <w:t>religious carve-outs in the Act are:</w:t>
      </w:r>
    </w:p>
    <w:p w14:paraId="044E087E" w14:textId="77777777" w:rsidR="008332B4" w:rsidRDefault="008332B4" w:rsidP="008332B4">
      <w:pPr>
        <w:pStyle w:val="Bullet"/>
      </w:pPr>
      <w:r w:rsidRPr="00EB4137">
        <w:rPr>
          <w:b/>
          <w:bCs/>
        </w:rPr>
        <w:t>section 26(1)(b):</w:t>
      </w:r>
      <w:r>
        <w:t xml:space="preserve"> allowing religious bodies to discriminate in the provision of accommodation to a relevant class of people;</w:t>
      </w:r>
    </w:p>
    <w:p w14:paraId="662FDD76" w14:textId="782C67C0" w:rsidR="008332B4" w:rsidRDefault="008332B4" w:rsidP="008332B4">
      <w:pPr>
        <w:pStyle w:val="Bullet"/>
        <w:rPr>
          <w:rStyle w:val="Strong"/>
          <w:b w:val="0"/>
          <w:bCs w:val="0"/>
        </w:rPr>
      </w:pPr>
      <w:r w:rsidRPr="00EB4137">
        <w:rPr>
          <w:b/>
          <w:bCs/>
        </w:rPr>
        <w:t>subsection 32(1)(d):</w:t>
      </w:r>
      <w:r>
        <w:t xml:space="preserve"> allowing a body established for religious purposes to discriminate on any attribute if the act or practice conforms with the body’s religion and is necessary to avoid injury to the religious susceptibilities of adherents of that religion</w:t>
      </w:r>
      <w:r w:rsidR="00AB31F2">
        <w:t xml:space="preserve">. </w:t>
      </w:r>
      <w:r>
        <w:t xml:space="preserve">This carve-out does not to apply to staff or students at a religious educational institution, but it could allow discrimination by religious bodies in the provision of a very wide range of </w:t>
      </w:r>
      <w:r w:rsidRPr="00E82F76">
        <w:rPr>
          <w:rStyle w:val="Strong"/>
          <w:b w:val="0"/>
          <w:bCs w:val="0"/>
        </w:rPr>
        <w:t>goods, services, facilities, premises or accommodation provided to the public</w:t>
      </w:r>
      <w:r w:rsidR="00AB31F2">
        <w:rPr>
          <w:rStyle w:val="Strong"/>
          <w:b w:val="0"/>
          <w:bCs w:val="0"/>
        </w:rPr>
        <w:t xml:space="preserve">. </w:t>
      </w:r>
      <w:r>
        <w:rPr>
          <w:rStyle w:val="Strong"/>
          <w:b w:val="0"/>
          <w:bCs w:val="0"/>
        </w:rPr>
        <w:t>The carve-out may also apply to staff in religious bodies other than educational institutions, such as hospitals and other service providers;</w:t>
      </w:r>
    </w:p>
    <w:p w14:paraId="1AC9E5EE" w14:textId="77777777" w:rsidR="008332B4" w:rsidRDefault="008332B4" w:rsidP="008332B4">
      <w:pPr>
        <w:pStyle w:val="Bullet"/>
      </w:pPr>
      <w:r w:rsidRPr="00EB4137">
        <w:rPr>
          <w:b/>
          <w:bCs/>
        </w:rPr>
        <w:t>section 44:</w:t>
      </w:r>
      <w:r>
        <w:t xml:space="preserve"> </w:t>
      </w:r>
      <w:r w:rsidRPr="005A3E69">
        <w:t xml:space="preserve">allowing </w:t>
      </w:r>
      <w:r>
        <w:t xml:space="preserve">religious educational institutions and health service providers to only hire or promote employees with a particular religious conviction, if the job involves religious teaching, observance or practice; </w:t>
      </w:r>
    </w:p>
    <w:p w14:paraId="629C30B9" w14:textId="15C1199B" w:rsidR="008332B4" w:rsidRDefault="008332B4" w:rsidP="008332B4">
      <w:pPr>
        <w:pStyle w:val="Bullet"/>
      </w:pPr>
      <w:r>
        <w:rPr>
          <w:b/>
          <w:bCs/>
        </w:rPr>
        <w:t>sub</w:t>
      </w:r>
      <w:r w:rsidRPr="002276B3">
        <w:rPr>
          <w:b/>
          <w:bCs/>
        </w:rPr>
        <w:t>section 46(1):</w:t>
      </w:r>
      <w:r>
        <w:t xml:space="preserve"> allowing religious education institutions to only admit students of a particular religious conviction, provided it publishes and makes its admissions policy readily accessible to prospective and current students;</w:t>
      </w:r>
    </w:p>
    <w:p w14:paraId="554FD3BA" w14:textId="11D1C23B" w:rsidR="008332B4" w:rsidRDefault="008332B4" w:rsidP="008332B4">
      <w:pPr>
        <w:pStyle w:val="Bullet"/>
      </w:pPr>
      <w:r>
        <w:rPr>
          <w:b/>
          <w:bCs/>
        </w:rPr>
        <w:t>sub</w:t>
      </w:r>
      <w:r w:rsidRPr="00B46A8A">
        <w:rPr>
          <w:b/>
          <w:bCs/>
        </w:rPr>
        <w:t>section 46(2):</w:t>
      </w:r>
      <w:r>
        <w:t xml:space="preserve"> allowing religious educational institutions to discriminate against employees on the ground of religious conviction, if: </w:t>
      </w:r>
    </w:p>
    <w:p w14:paraId="727A7AEE" w14:textId="77777777" w:rsidR="008332B4" w:rsidRDefault="008332B4" w:rsidP="008332B4">
      <w:pPr>
        <w:pStyle w:val="Bullet"/>
        <w:numPr>
          <w:ilvl w:val="2"/>
          <w:numId w:val="12"/>
        </w:numPr>
      </w:pPr>
      <w:r>
        <w:t xml:space="preserve">the discrimination </w:t>
      </w:r>
      <w:r w:rsidRPr="009E28FD">
        <w:rPr>
          <w:i/>
          <w:iCs/>
        </w:rPr>
        <w:t>‘is intended to enable, or better enable, the institutions to be conducted in accordance with its religious doctrines, tenets, beliefs or teachings’</w:t>
      </w:r>
      <w:r w:rsidRPr="00FA29BE">
        <w:t>;</w:t>
      </w:r>
      <w:r>
        <w:t xml:space="preserve"> and</w:t>
      </w:r>
    </w:p>
    <w:p w14:paraId="5FCB0009" w14:textId="3DA83B9B" w:rsidR="008332B4" w:rsidRDefault="008332B4" w:rsidP="008332B4">
      <w:pPr>
        <w:pStyle w:val="Bullet"/>
        <w:numPr>
          <w:ilvl w:val="2"/>
          <w:numId w:val="12"/>
        </w:numPr>
      </w:pPr>
      <w:r>
        <w:t>the institution publishes and makes its policy readily accessible to prospective and current staff.</w:t>
      </w:r>
    </w:p>
    <w:p w14:paraId="570F0EA4" w14:textId="77777777" w:rsidR="00AB3F3E" w:rsidRDefault="00AB3F3E" w:rsidP="00AB3F3E">
      <w:pPr>
        <w:keepNext/>
      </w:pPr>
      <w:r>
        <w:lastRenderedPageBreak/>
        <w:t>The prohibitions on discrimination also do not apply in any way to:</w:t>
      </w:r>
    </w:p>
    <w:p w14:paraId="77B184FD" w14:textId="77777777" w:rsidR="00AB3F3E" w:rsidRPr="00D36FFE" w:rsidRDefault="00AB3F3E" w:rsidP="00AB3F3E">
      <w:pPr>
        <w:pStyle w:val="Bullet"/>
      </w:pPr>
      <w:r w:rsidRPr="00D36FFE">
        <w:t>the ordination</w:t>
      </w:r>
      <w:r>
        <w:t>,</w:t>
      </w:r>
      <w:r w:rsidRPr="00D36FFE">
        <w:t xml:space="preserve"> appointment</w:t>
      </w:r>
      <w:r>
        <w:t xml:space="preserve">, trading or education </w:t>
      </w:r>
      <w:r w:rsidRPr="00D36FFE">
        <w:t>of priests, ministers of religion or members of any religious order;</w:t>
      </w:r>
      <w:r>
        <w:rPr>
          <w:rStyle w:val="FootnoteReference"/>
        </w:rPr>
        <w:footnoteReference w:id="1"/>
      </w:r>
    </w:p>
    <w:p w14:paraId="7047CED3" w14:textId="77777777" w:rsidR="00AB3F3E" w:rsidRPr="00D36FFE" w:rsidRDefault="00AB3F3E" w:rsidP="00AB3F3E">
      <w:pPr>
        <w:pStyle w:val="Bullet"/>
      </w:pPr>
      <w:r w:rsidRPr="00D36FFE">
        <w:t>the selection or appointment of people to exercise functions for the purposes of, or in connection with, any religious observance or practice.</w:t>
      </w:r>
      <w:r>
        <w:rPr>
          <w:rStyle w:val="FootnoteReference"/>
        </w:rPr>
        <w:footnoteReference w:id="2"/>
      </w:r>
    </w:p>
    <w:p w14:paraId="0DD66AAB" w14:textId="77777777" w:rsidR="00AB3F3E" w:rsidRDefault="00AB3F3E" w:rsidP="00AB3F3E">
      <w:r>
        <w:t xml:space="preserve"> Religious bodies and educational institutions are also able to rely on other exemptions.</w:t>
      </w:r>
    </w:p>
    <w:p w14:paraId="0AB9DCA8" w14:textId="284D6AFF" w:rsidR="005375D5" w:rsidRDefault="00AB47DC" w:rsidP="00BB79D2">
      <w:pPr>
        <w:pStyle w:val="Heading2"/>
      </w:pPr>
      <w:bookmarkStart w:id="8" w:name="_Toc94283547"/>
      <w:r>
        <w:t>Towards a</w:t>
      </w:r>
      <w:r w:rsidR="008F586C">
        <w:t xml:space="preserve"> </w:t>
      </w:r>
      <w:r>
        <w:t>human rights conforming approach</w:t>
      </w:r>
      <w:bookmarkEnd w:id="8"/>
    </w:p>
    <w:p w14:paraId="5AB96710" w14:textId="27C90642" w:rsidR="00915F4F" w:rsidRDefault="0057796F" w:rsidP="0057796F">
      <w:r>
        <w:t>Throughout the Discussion Paper, the question of whether certain exceptions to the prohibition on discrimination should be narrowed or broadened is raised in relation to the activities of religious bodies</w:t>
      </w:r>
      <w:r w:rsidR="00AB31F2">
        <w:t xml:space="preserve">. </w:t>
      </w:r>
    </w:p>
    <w:p w14:paraId="3A828E1B" w14:textId="1E1008CE" w:rsidR="008A5BBB" w:rsidRDefault="00FB532A" w:rsidP="00FB532A">
      <w:r>
        <w:t>As a matter of principle, it is essential that exceptions</w:t>
      </w:r>
      <w:r w:rsidR="0095307B">
        <w:t xml:space="preserve"> for religious organisations</w:t>
      </w:r>
      <w:r>
        <w:t xml:space="preserve"> are only granted where they can be justified when balanced with the fundamental rights and freedoms of others</w:t>
      </w:r>
      <w:r w:rsidR="00AB31F2">
        <w:t xml:space="preserve">. </w:t>
      </w:r>
      <w:r>
        <w:t xml:space="preserve">The </w:t>
      </w:r>
      <w:r w:rsidR="00E1208A">
        <w:t>way</w:t>
      </w:r>
      <w:r>
        <w:t xml:space="preserve"> some </w:t>
      </w:r>
      <w:r w:rsidR="00A45BD0">
        <w:t xml:space="preserve">existing </w:t>
      </w:r>
      <w:r>
        <w:t>religious exceptions are framed does not fully comply with international human rights law</w:t>
      </w:r>
      <w:r w:rsidR="00AB31F2">
        <w:t xml:space="preserve">. </w:t>
      </w:r>
      <w:r>
        <w:t>International human rights law requires a balancing of competing rights, to ensure that discriminatory conduct is not permitted unless there is a legitimate purpose for the conduct, and the means by which that purpose is achieved is proportionate.</w:t>
      </w:r>
      <w:r>
        <w:rPr>
          <w:rStyle w:val="FootnoteReference"/>
        </w:rPr>
        <w:footnoteReference w:id="3"/>
      </w:r>
      <w:r>
        <w:t xml:space="preserve"> </w:t>
      </w:r>
      <w:r w:rsidR="00E1208A">
        <w:t xml:space="preserve"> </w:t>
      </w:r>
    </w:p>
    <w:p w14:paraId="786EB94D" w14:textId="18E767F1" w:rsidR="00FB532A" w:rsidRPr="005D2EBF" w:rsidRDefault="00AE4E55" w:rsidP="00FB532A">
      <w:r>
        <w:t>T</w:t>
      </w:r>
      <w:r w:rsidR="00E1208A">
        <w:t xml:space="preserve">he closer conduct is to religious </w:t>
      </w:r>
      <w:r w:rsidR="007946D2">
        <w:t>worship</w:t>
      </w:r>
      <w:r w:rsidR="00E1208A">
        <w:t xml:space="preserve">, </w:t>
      </w:r>
      <w:r w:rsidR="008A5BBB">
        <w:t xml:space="preserve">observance, </w:t>
      </w:r>
      <w:r w:rsidR="007946D2">
        <w:t>practice</w:t>
      </w:r>
      <w:r w:rsidR="00DF2EB2">
        <w:t xml:space="preserve"> and teaching</w:t>
      </w:r>
      <w:r w:rsidR="008A5BBB">
        <w:t xml:space="preserve">, the </w:t>
      </w:r>
      <w:r w:rsidR="00865C21">
        <w:t>stronger the argument for privileging the interests of a religious collective</w:t>
      </w:r>
      <w:r w:rsidR="00994B05">
        <w:t>, however constituted,</w:t>
      </w:r>
      <w:r w:rsidR="00865C21">
        <w:t xml:space="preserve"> </w:t>
      </w:r>
      <w:r w:rsidR="00994B05">
        <w:t>over the interests of an individual with a different religious conviction</w:t>
      </w:r>
      <w:r w:rsidR="00AB31F2">
        <w:t xml:space="preserve">. </w:t>
      </w:r>
      <w:r w:rsidR="00D64230">
        <w:t xml:space="preserve">But </w:t>
      </w:r>
      <w:r w:rsidR="00525377">
        <w:t xml:space="preserve">ultimately, it is </w:t>
      </w:r>
      <w:r w:rsidR="00D64230">
        <w:t xml:space="preserve">individuals </w:t>
      </w:r>
      <w:r w:rsidR="00525377">
        <w:t xml:space="preserve">who </w:t>
      </w:r>
      <w:r w:rsidR="00D64230">
        <w:t xml:space="preserve">hold the </w:t>
      </w:r>
      <w:r w:rsidR="007946D2">
        <w:t xml:space="preserve">right to freedom of thought, conscience and religion under the </w:t>
      </w:r>
      <w:r w:rsidR="007946D2" w:rsidRPr="007946D2">
        <w:rPr>
          <w:i/>
          <w:iCs/>
        </w:rPr>
        <w:t>Human Rights Act 2004</w:t>
      </w:r>
      <w:r w:rsidR="007946D2">
        <w:t xml:space="preserve"> (ACT)</w:t>
      </w:r>
      <w:r w:rsidR="00B24728">
        <w:t>, whether on their own or as part of a community with others</w:t>
      </w:r>
      <w:r w:rsidR="007946D2">
        <w:t>.</w:t>
      </w:r>
      <w:r w:rsidR="00F14283">
        <w:rPr>
          <w:rStyle w:val="FootnoteReference"/>
        </w:rPr>
        <w:footnoteReference w:id="4"/>
      </w:r>
      <w:r w:rsidR="00162649">
        <w:t xml:space="preserve">  That means, </w:t>
      </w:r>
      <w:r w:rsidR="004046C1">
        <w:t xml:space="preserve">the freedom of </w:t>
      </w:r>
      <w:r w:rsidR="00E37869">
        <w:t xml:space="preserve">thought, conscience and religion </w:t>
      </w:r>
      <w:r w:rsidR="00DF2EB2">
        <w:t>has relevance for</w:t>
      </w:r>
      <w:r w:rsidR="00E37869">
        <w:t xml:space="preserve"> </w:t>
      </w:r>
      <w:r w:rsidR="00E37869" w:rsidRPr="005A19A1">
        <w:t>all</w:t>
      </w:r>
      <w:r w:rsidR="00E37869">
        <w:t xml:space="preserve"> individuals, including individuals whose </w:t>
      </w:r>
      <w:r w:rsidR="006D2E3B">
        <w:t>religious convictions</w:t>
      </w:r>
      <w:r w:rsidR="00757624">
        <w:t xml:space="preserve"> differ in some way from those of their religious body employers or service providers</w:t>
      </w:r>
      <w:r w:rsidR="00AB31F2">
        <w:t xml:space="preserve">. </w:t>
      </w:r>
      <w:r w:rsidR="00FA7960">
        <w:t xml:space="preserve">Religious exemptions need some flexibility to allow </w:t>
      </w:r>
      <w:r w:rsidR="006D2E3B">
        <w:t xml:space="preserve">for </w:t>
      </w:r>
      <w:r w:rsidR="00FA7960">
        <w:t xml:space="preserve">a balancing of </w:t>
      </w:r>
      <w:r w:rsidR="005A19A1">
        <w:t xml:space="preserve">these </w:t>
      </w:r>
      <w:r w:rsidR="00FA7960">
        <w:t>interests</w:t>
      </w:r>
      <w:r w:rsidR="006D2E3B">
        <w:t xml:space="preserve"> and rights, depending on all the circumstances of the case</w:t>
      </w:r>
      <w:r w:rsidR="00AB31F2">
        <w:t xml:space="preserve">. </w:t>
      </w:r>
      <w:r w:rsidR="00757624">
        <w:t>Australian religious</w:t>
      </w:r>
      <w:r w:rsidR="005A19A1">
        <w:t xml:space="preserve"> legal</w:t>
      </w:r>
      <w:r w:rsidR="00757624">
        <w:t xml:space="preserve"> exemptions have not tended to </w:t>
      </w:r>
      <w:r w:rsidR="00B70286">
        <w:t xml:space="preserve">import </w:t>
      </w:r>
      <w:r w:rsidR="005A19A1">
        <w:t xml:space="preserve">adequate </w:t>
      </w:r>
      <w:r w:rsidR="00B74EC7">
        <w:t>balancing mechanisms that conform with international human rights principles</w:t>
      </w:r>
      <w:r w:rsidR="005D2EBF">
        <w:t>, although the Act is better in some respects than its counterparts in other Australian states and territories.</w:t>
      </w:r>
    </w:p>
    <w:p w14:paraId="0FD8DA55" w14:textId="0C9754E5" w:rsidR="00AB3F3E" w:rsidRDefault="00AB3F3E" w:rsidP="00F43CFE">
      <w:r>
        <w:t>The broadest and most problematic carve-outs in the Act are subsections 32(1)(d) and 46(2)</w:t>
      </w:r>
      <w:r w:rsidR="00AB31F2">
        <w:t xml:space="preserve">. </w:t>
      </w:r>
      <w:r w:rsidR="0046131A">
        <w:t>Among the</w:t>
      </w:r>
      <w:r>
        <w:t xml:space="preserve"> problem</w:t>
      </w:r>
      <w:r w:rsidR="0046131A">
        <w:t>s</w:t>
      </w:r>
      <w:r>
        <w:t xml:space="preserve"> with these sections is that</w:t>
      </w:r>
      <w:r w:rsidR="00F43CFE">
        <w:t xml:space="preserve"> </w:t>
      </w:r>
      <w:r>
        <w:t xml:space="preserve">they do not import any </w:t>
      </w:r>
      <w:r w:rsidR="00441EF3">
        <w:t>proportionality</w:t>
      </w:r>
      <w:r>
        <w:t xml:space="preserve"> standard, as required by international human rights law</w:t>
      </w:r>
      <w:r w:rsidR="00AB31F2">
        <w:t xml:space="preserve">. </w:t>
      </w:r>
      <w:r>
        <w:t xml:space="preserve">They prioritise only the views and interests of </w:t>
      </w:r>
      <w:r w:rsidR="00DC77CB">
        <w:t>faith-based</w:t>
      </w:r>
      <w:r>
        <w:t xml:space="preserve"> </w:t>
      </w:r>
      <w:r w:rsidR="00EC3F0D">
        <w:t>organisation</w:t>
      </w:r>
      <w:r w:rsidR="00AC05F3">
        <w:t>s</w:t>
      </w:r>
      <w:r>
        <w:t>, ignoring the impact of discrimination on the individual</w:t>
      </w:r>
      <w:r w:rsidR="00BC002B">
        <w:t xml:space="preserve"> </w:t>
      </w:r>
      <w:r w:rsidR="005D6F22">
        <w:t xml:space="preserve">employees and service users </w:t>
      </w:r>
      <w:r w:rsidR="00BC002B">
        <w:t>who may themselves have their own religious convictions</w:t>
      </w:r>
      <w:r w:rsidR="00AD37F9">
        <w:t xml:space="preserve"> and protected attributes</w:t>
      </w:r>
      <w:r w:rsidR="00AB31F2">
        <w:t xml:space="preserve">. </w:t>
      </w:r>
      <w:r>
        <w:t xml:space="preserve">They </w:t>
      </w:r>
      <w:r w:rsidR="00977645">
        <w:t>effectively allow</w:t>
      </w:r>
      <w:r>
        <w:t xml:space="preserve"> </w:t>
      </w:r>
      <w:r w:rsidR="00192296">
        <w:t>faith-based organisation</w:t>
      </w:r>
      <w:r w:rsidR="00977645">
        <w:t xml:space="preserve">s </w:t>
      </w:r>
      <w:r>
        <w:t xml:space="preserve">to set </w:t>
      </w:r>
      <w:r w:rsidR="000E511E">
        <w:t>their own rules</w:t>
      </w:r>
      <w:r w:rsidR="00171A54">
        <w:t xml:space="preserve"> and apply them to </w:t>
      </w:r>
      <w:r w:rsidR="000530B1">
        <w:t>all aspects of their</w:t>
      </w:r>
      <w:r w:rsidR="00171A54">
        <w:t xml:space="preserve"> employees</w:t>
      </w:r>
      <w:r w:rsidR="000530B1">
        <w:t>’</w:t>
      </w:r>
      <w:r w:rsidR="00171A54">
        <w:t xml:space="preserve"> and service use</w:t>
      </w:r>
      <w:r w:rsidR="000530B1">
        <w:t>rs’ lives</w:t>
      </w:r>
      <w:r w:rsidR="009B38CB">
        <w:t xml:space="preserve"> as a condition of employment or access to services</w:t>
      </w:r>
      <w:r w:rsidR="003947D4">
        <w:t xml:space="preserve"> and supports</w:t>
      </w:r>
      <w:r w:rsidR="009B38CB">
        <w:t xml:space="preserve">, many of which are </w:t>
      </w:r>
      <w:r w:rsidR="003947D4">
        <w:t>significantly publicly funded</w:t>
      </w:r>
      <w:r w:rsidR="00AB31F2">
        <w:t xml:space="preserve">. </w:t>
      </w:r>
      <w:r w:rsidR="0046131A">
        <w:t>Significantly, s</w:t>
      </w:r>
      <w:r w:rsidR="00EB22E9">
        <w:t>ection 32(1)(d)</w:t>
      </w:r>
      <w:r w:rsidR="0046131A">
        <w:t xml:space="preserve"> </w:t>
      </w:r>
      <w:r w:rsidR="00130294">
        <w:t xml:space="preserve">also </w:t>
      </w:r>
      <w:r w:rsidR="00EB22E9">
        <w:t>applies to all protected attributes</w:t>
      </w:r>
      <w:r w:rsidR="00130294">
        <w:t xml:space="preserve"> – not only religious conviction</w:t>
      </w:r>
      <w:r w:rsidR="0046131A">
        <w:t>.</w:t>
      </w:r>
    </w:p>
    <w:p w14:paraId="22465FEA" w14:textId="46B999A6" w:rsidR="00970C41" w:rsidRDefault="0046131A" w:rsidP="00E63590">
      <w:r>
        <w:t xml:space="preserve">On the other </w:t>
      </w:r>
      <w:r w:rsidR="003760D0">
        <w:t>hand</w:t>
      </w:r>
      <w:r>
        <w:t xml:space="preserve">, </w:t>
      </w:r>
      <w:r w:rsidR="00130294">
        <w:t xml:space="preserve">the fact </w:t>
      </w:r>
      <w:r>
        <w:t>t</w:t>
      </w:r>
      <w:r w:rsidR="009A4019">
        <w:t xml:space="preserve">hat subsection 46(2) only applies to discrimination </w:t>
      </w:r>
      <w:r w:rsidR="005D6F22">
        <w:t xml:space="preserve">based on </w:t>
      </w:r>
      <w:r w:rsidR="009A4019">
        <w:t xml:space="preserve">the grounds of religious conviction does not provide </w:t>
      </w:r>
      <w:r w:rsidR="00171A54">
        <w:t xml:space="preserve">much </w:t>
      </w:r>
      <w:r w:rsidR="005D6F22">
        <w:t>comfort</w:t>
      </w:r>
      <w:r w:rsidR="00171A54">
        <w:t xml:space="preserve"> to LGBTIQ+ people</w:t>
      </w:r>
      <w:r w:rsidR="003947D4">
        <w:t xml:space="preserve"> or the people who affirm them</w:t>
      </w:r>
      <w:r w:rsidR="00AB31F2">
        <w:t xml:space="preserve">. </w:t>
      </w:r>
      <w:r w:rsidR="0076646E">
        <w:t xml:space="preserve">In our experience, some faith-based organisations have attempted to reframe discrimination based on </w:t>
      </w:r>
      <w:r w:rsidR="008D0E55">
        <w:t>sexuality</w:t>
      </w:r>
      <w:r w:rsidR="0076646E">
        <w:t xml:space="preserve"> and gender identity as a matter of the organisation instead requiring conformity with religious </w:t>
      </w:r>
      <w:r w:rsidR="00CC79ED">
        <w:t>convictions</w:t>
      </w:r>
      <w:r w:rsidR="0076646E">
        <w:t xml:space="preserve"> that deny the equal dignity of LGBT</w:t>
      </w:r>
      <w:r w:rsidR="006D206E">
        <w:t>I</w:t>
      </w:r>
      <w:r w:rsidR="0076646E">
        <w:t>Q+ people</w:t>
      </w:r>
      <w:r w:rsidR="00AB31F2">
        <w:t xml:space="preserve">. </w:t>
      </w:r>
      <w:r w:rsidR="00970C41">
        <w:t>For example, we have recently assisted several people employed by faith-based educational institutions</w:t>
      </w:r>
      <w:r w:rsidR="00E75A11">
        <w:t xml:space="preserve"> in other states</w:t>
      </w:r>
      <w:r w:rsidR="00970C41">
        <w:t xml:space="preserve"> who were dismissed or forced to resign because </w:t>
      </w:r>
      <w:r w:rsidR="00CC79ED">
        <w:t xml:space="preserve">they </w:t>
      </w:r>
      <w:r w:rsidR="007A1EEB" w:rsidRPr="003205DE">
        <w:rPr>
          <w:i/>
          <w:iCs/>
        </w:rPr>
        <w:t>believed</w:t>
      </w:r>
      <w:r w:rsidR="007A1EEB">
        <w:t xml:space="preserve"> in marriage equality</w:t>
      </w:r>
      <w:r w:rsidR="00E63590">
        <w:t xml:space="preserve"> </w:t>
      </w:r>
      <w:r w:rsidR="003205DE">
        <w:t>(even though they were heterosexually</w:t>
      </w:r>
      <w:r w:rsidR="00516BA3">
        <w:t>-</w:t>
      </w:r>
      <w:r w:rsidR="003205DE">
        <w:t xml:space="preserve">married) </w:t>
      </w:r>
      <w:r w:rsidR="00E63590">
        <w:t>or</w:t>
      </w:r>
      <w:r w:rsidR="00F47DB3">
        <w:t xml:space="preserve"> refused to believe that homosexuality was immoral</w:t>
      </w:r>
      <w:r w:rsidR="003205DE">
        <w:t xml:space="preserve"> (even though they were Christian </w:t>
      </w:r>
      <w:r w:rsidR="00516BA3">
        <w:t>and otherwise believed in much of the same religious doctrines as their employer)</w:t>
      </w:r>
      <w:r w:rsidR="00E63590">
        <w:t>.</w:t>
      </w:r>
      <w:r w:rsidR="00E63590">
        <w:rPr>
          <w:rStyle w:val="FootnoteReference"/>
        </w:rPr>
        <w:footnoteReference w:id="5"/>
      </w:r>
      <w:r w:rsidR="00E63590">
        <w:t xml:space="preserve">  </w:t>
      </w:r>
      <w:r w:rsidR="00970C41">
        <w:t xml:space="preserve">All of </w:t>
      </w:r>
      <w:r w:rsidR="00970C41">
        <w:lastRenderedPageBreak/>
        <w:t xml:space="preserve">these people were highly regarded and faithful employees who ably performed their roles and subscribed to many of the religious beliefs of their employer – except those which undermined or diminished the equal dignity of LGBTQ+ people and their relationships. </w:t>
      </w:r>
    </w:p>
    <w:p w14:paraId="7A7B2F09" w14:textId="3EEB5B72" w:rsidR="00010D03" w:rsidRDefault="00010D03" w:rsidP="00010D03">
      <w:pPr>
        <w:pStyle w:val="Heading2"/>
      </w:pPr>
      <w:bookmarkStart w:id="9" w:name="_Toc94283548"/>
      <w:r>
        <w:t>A ‘reasonable and proportionate in all the circumstances’ test</w:t>
      </w:r>
      <w:bookmarkEnd w:id="9"/>
    </w:p>
    <w:p w14:paraId="5937A530" w14:textId="47A09E23" w:rsidR="0073454F" w:rsidRDefault="00FA0053" w:rsidP="0073454F">
      <w:pPr>
        <w:rPr>
          <w:lang w:val="en-GB"/>
        </w:rPr>
      </w:pPr>
      <w:r>
        <w:t>R</w:t>
      </w:r>
      <w:r w:rsidR="0073454F" w:rsidRPr="00AA4001">
        <w:t>eligious exemptions, if they are to be granted, must</w:t>
      </w:r>
      <w:r>
        <w:t xml:space="preserve"> be justified and</w:t>
      </w:r>
      <w:r w:rsidR="0073454F" w:rsidRPr="00AA4001">
        <w:t xml:space="preserve"> employ a better balancing mechanism </w:t>
      </w:r>
      <w:r w:rsidR="0073454F" w:rsidRPr="00AA4001">
        <w:rPr>
          <w:lang w:val="en-GB"/>
        </w:rPr>
        <w:t xml:space="preserve">to accommodate the rights of individuals with different and no religious beliefs who are employed </w:t>
      </w:r>
      <w:r w:rsidR="00867B5A">
        <w:rPr>
          <w:lang w:val="en-GB"/>
        </w:rPr>
        <w:t>or</w:t>
      </w:r>
      <w:r w:rsidR="0073454F" w:rsidRPr="00AA4001">
        <w:rPr>
          <w:lang w:val="en-GB"/>
        </w:rPr>
        <w:t xml:space="preserve"> rely on services </w:t>
      </w:r>
      <w:r w:rsidR="001B575B">
        <w:rPr>
          <w:lang w:val="en-GB"/>
        </w:rPr>
        <w:t xml:space="preserve">and supports </w:t>
      </w:r>
      <w:r w:rsidR="0073454F" w:rsidRPr="00AA4001">
        <w:rPr>
          <w:lang w:val="en-GB"/>
        </w:rPr>
        <w:t>delivered by these organisations</w:t>
      </w:r>
      <w:r w:rsidR="00AB31F2">
        <w:rPr>
          <w:lang w:val="en-GB"/>
        </w:rPr>
        <w:t xml:space="preserve">. </w:t>
      </w:r>
      <w:r w:rsidR="0073454F" w:rsidRPr="00AA4001">
        <w:rPr>
          <w:lang w:val="en-GB"/>
        </w:rPr>
        <w:t>They must also prevent the selective application of religious beliefs to target and single out LGBT</w:t>
      </w:r>
      <w:r w:rsidR="001D432D">
        <w:rPr>
          <w:lang w:val="en-GB"/>
        </w:rPr>
        <w:t>I</w:t>
      </w:r>
      <w:r w:rsidR="0073454F" w:rsidRPr="00AA4001">
        <w:rPr>
          <w:lang w:val="en-GB"/>
        </w:rPr>
        <w:t>Q+ people and the people who support them for less favourable treatment</w:t>
      </w:r>
      <w:r w:rsidR="0073454F">
        <w:rPr>
          <w:lang w:val="en-GB"/>
        </w:rPr>
        <w:t>.</w:t>
      </w:r>
    </w:p>
    <w:p w14:paraId="55DCAE42" w14:textId="4260877C" w:rsidR="00326D04" w:rsidRDefault="003A48C8" w:rsidP="003A48C8">
      <w:pPr>
        <w:rPr>
          <w:lang w:val="en-GB"/>
        </w:rPr>
      </w:pPr>
      <w:r>
        <w:rPr>
          <w:lang w:val="en-GB"/>
        </w:rPr>
        <w:t>That is why we support</w:t>
      </w:r>
      <w:r w:rsidR="00CF3932">
        <w:rPr>
          <w:lang w:val="en-GB"/>
        </w:rPr>
        <w:t>, as a minimum,</w:t>
      </w:r>
      <w:r>
        <w:rPr>
          <w:lang w:val="en-GB"/>
        </w:rPr>
        <w:t xml:space="preserve"> </w:t>
      </w:r>
      <w:r w:rsidR="00326D04">
        <w:rPr>
          <w:lang w:val="en-GB"/>
        </w:rPr>
        <w:t>the following amendments to the religious exceptions contained in the Act:</w:t>
      </w:r>
    </w:p>
    <w:p w14:paraId="7F5A31B8" w14:textId="419A4AF5" w:rsidR="00326D04" w:rsidRDefault="00F24EB0" w:rsidP="00326D04">
      <w:pPr>
        <w:pStyle w:val="Bullet"/>
        <w:rPr>
          <w:lang w:val="en-GB"/>
        </w:rPr>
      </w:pPr>
      <w:r>
        <w:rPr>
          <w:lang w:val="en-GB"/>
        </w:rPr>
        <w:t>sub</w:t>
      </w:r>
      <w:r w:rsidR="00362AA1">
        <w:rPr>
          <w:lang w:val="en-GB"/>
        </w:rPr>
        <w:t>s</w:t>
      </w:r>
      <w:r w:rsidR="00326D04">
        <w:rPr>
          <w:lang w:val="en-GB"/>
        </w:rPr>
        <w:t xml:space="preserve">ection 32(1)(d) should be </w:t>
      </w:r>
      <w:r>
        <w:rPr>
          <w:lang w:val="en-GB"/>
        </w:rPr>
        <w:t xml:space="preserve">narrowed </w:t>
      </w:r>
      <w:r w:rsidR="00326D04">
        <w:rPr>
          <w:lang w:val="en-GB"/>
        </w:rPr>
        <w:t>to</w:t>
      </w:r>
      <w:r w:rsidR="00903C88">
        <w:rPr>
          <w:lang w:val="en-GB"/>
        </w:rPr>
        <w:t xml:space="preserve"> apply to</w:t>
      </w:r>
      <w:r w:rsidR="00062872">
        <w:rPr>
          <w:lang w:val="en-GB"/>
        </w:rPr>
        <w:t xml:space="preserve"> </w:t>
      </w:r>
      <w:r w:rsidR="00307567">
        <w:rPr>
          <w:lang w:val="en-GB"/>
        </w:rPr>
        <w:t>discrimination</w:t>
      </w:r>
      <w:r w:rsidR="004405F6">
        <w:rPr>
          <w:lang w:val="en-GB"/>
        </w:rPr>
        <w:t xml:space="preserve"> based on</w:t>
      </w:r>
      <w:r w:rsidR="00062872">
        <w:rPr>
          <w:lang w:val="en-GB"/>
        </w:rPr>
        <w:t xml:space="preserve"> </w:t>
      </w:r>
      <w:r w:rsidR="00326D04">
        <w:rPr>
          <w:lang w:val="en-GB"/>
        </w:rPr>
        <w:t>religious conviction</w:t>
      </w:r>
      <w:r w:rsidR="00F337F1">
        <w:rPr>
          <w:lang w:val="en-GB"/>
        </w:rPr>
        <w:t xml:space="preserve"> only</w:t>
      </w:r>
      <w:r w:rsidR="00362AA1">
        <w:rPr>
          <w:lang w:val="en-GB"/>
        </w:rPr>
        <w:t xml:space="preserve">, </w:t>
      </w:r>
      <w:r w:rsidR="00307567">
        <w:rPr>
          <w:lang w:val="en-GB"/>
        </w:rPr>
        <w:t xml:space="preserve">when </w:t>
      </w:r>
      <w:r w:rsidR="00903C88">
        <w:rPr>
          <w:lang w:val="en-GB"/>
        </w:rPr>
        <w:t>the relevant</w:t>
      </w:r>
      <w:r w:rsidR="00307567">
        <w:rPr>
          <w:lang w:val="en-GB"/>
        </w:rPr>
        <w:t xml:space="preserve"> acts and practices </w:t>
      </w:r>
      <w:r w:rsidR="004405F6">
        <w:rPr>
          <w:lang w:val="en-GB"/>
        </w:rPr>
        <w:t xml:space="preserve">conform to the </w:t>
      </w:r>
      <w:r w:rsidR="004C0FB4">
        <w:rPr>
          <w:lang w:val="en-GB"/>
        </w:rPr>
        <w:t xml:space="preserve">religious </w:t>
      </w:r>
      <w:r w:rsidR="004C0FB4" w:rsidRPr="00856665">
        <w:rPr>
          <w:lang w:val="en-GB"/>
        </w:rPr>
        <w:t>doctrines, tenets or beliefs</w:t>
      </w:r>
      <w:r w:rsidR="00307567">
        <w:rPr>
          <w:lang w:val="en-GB"/>
        </w:rPr>
        <w:t xml:space="preserve"> of the body, are </w:t>
      </w:r>
      <w:r w:rsidR="003060DA">
        <w:rPr>
          <w:lang w:val="en-GB"/>
        </w:rPr>
        <w:t xml:space="preserve">necessary to avoid injury to the religious </w:t>
      </w:r>
      <w:r w:rsidR="003A3758">
        <w:t xml:space="preserve">susceptibilities </w:t>
      </w:r>
      <w:r w:rsidR="003060DA">
        <w:rPr>
          <w:lang w:val="en-GB"/>
        </w:rPr>
        <w:t>of adherents</w:t>
      </w:r>
      <w:r w:rsidR="00307567">
        <w:rPr>
          <w:lang w:val="en-GB"/>
        </w:rPr>
        <w:t>,</w:t>
      </w:r>
      <w:r w:rsidR="003060DA">
        <w:rPr>
          <w:lang w:val="en-GB"/>
        </w:rPr>
        <w:t xml:space="preserve"> </w:t>
      </w:r>
      <w:r w:rsidR="003060DA" w:rsidRPr="009D50E9">
        <w:rPr>
          <w:u w:val="single"/>
          <w:lang w:val="en-GB"/>
        </w:rPr>
        <w:t>and</w:t>
      </w:r>
      <w:r w:rsidR="003060DA">
        <w:rPr>
          <w:lang w:val="en-GB"/>
        </w:rPr>
        <w:t xml:space="preserve"> </w:t>
      </w:r>
      <w:r w:rsidR="00307567">
        <w:rPr>
          <w:lang w:val="en-GB"/>
        </w:rPr>
        <w:t>are</w:t>
      </w:r>
      <w:r w:rsidR="0041274A">
        <w:rPr>
          <w:lang w:val="en-GB"/>
        </w:rPr>
        <w:t xml:space="preserve"> reasonable and proportionate</w:t>
      </w:r>
      <w:r w:rsidR="009D50E9">
        <w:rPr>
          <w:lang w:val="en-GB"/>
        </w:rPr>
        <w:t xml:space="preserve"> in all the circumstances</w:t>
      </w:r>
      <w:r w:rsidR="00954901">
        <w:rPr>
          <w:lang w:val="en-GB"/>
        </w:rPr>
        <w:t>,</w:t>
      </w:r>
      <w:r w:rsidR="000F36E0">
        <w:rPr>
          <w:lang w:val="en-GB"/>
        </w:rPr>
        <w:t xml:space="preserve"> </w:t>
      </w:r>
      <w:r w:rsidR="00C04169">
        <w:rPr>
          <w:lang w:val="en-GB"/>
        </w:rPr>
        <w:t>including</w:t>
      </w:r>
      <w:r w:rsidR="009D50E9">
        <w:rPr>
          <w:lang w:val="en-GB"/>
        </w:rPr>
        <w:t xml:space="preserve"> </w:t>
      </w:r>
      <w:r w:rsidR="000F36E0">
        <w:rPr>
          <w:lang w:val="en-GB"/>
        </w:rPr>
        <w:t>having regard to the countervailing interests of the</w:t>
      </w:r>
      <w:r w:rsidR="00F40E06">
        <w:rPr>
          <w:lang w:val="en-GB"/>
        </w:rPr>
        <w:t xml:space="preserve"> affected</w:t>
      </w:r>
      <w:r w:rsidR="000F36E0">
        <w:rPr>
          <w:lang w:val="en-GB"/>
        </w:rPr>
        <w:t xml:space="preserve"> individual</w:t>
      </w:r>
      <w:r w:rsidR="00AB31F2">
        <w:rPr>
          <w:lang w:val="en-GB"/>
        </w:rPr>
        <w:t xml:space="preserve">. </w:t>
      </w:r>
      <w:r w:rsidR="00D81A50">
        <w:rPr>
          <w:lang w:val="en-GB"/>
        </w:rPr>
        <w:t>Section 32(1)(d) should not allow discrimination on any other attribut</w:t>
      </w:r>
      <w:r w:rsidR="00EB7513">
        <w:rPr>
          <w:lang w:val="en-GB"/>
        </w:rPr>
        <w:t>e</w:t>
      </w:r>
      <w:r w:rsidR="00AB31F2">
        <w:rPr>
          <w:lang w:val="en-GB"/>
        </w:rPr>
        <w:t xml:space="preserve">. </w:t>
      </w:r>
      <w:r w:rsidR="00566EDB" w:rsidRPr="00566EDB">
        <w:rPr>
          <w:lang w:val="en-GB"/>
        </w:rPr>
        <w:t xml:space="preserve">If religious bodies need a specific exemption in respect of another particular </w:t>
      </w:r>
      <w:r w:rsidR="007144A2">
        <w:rPr>
          <w:lang w:val="en-GB"/>
        </w:rPr>
        <w:t>attribute</w:t>
      </w:r>
      <w:r w:rsidR="00566EDB" w:rsidRPr="00566EDB">
        <w:rPr>
          <w:lang w:val="en-GB"/>
        </w:rPr>
        <w:t xml:space="preserve">, </w:t>
      </w:r>
      <w:r w:rsidR="00566EDB">
        <w:rPr>
          <w:lang w:val="en-GB"/>
        </w:rPr>
        <w:t xml:space="preserve">the onus should be on them to clearly explain </w:t>
      </w:r>
      <w:r w:rsidR="00566EDB" w:rsidRPr="00566EDB">
        <w:rPr>
          <w:lang w:val="en-GB"/>
        </w:rPr>
        <w:t>what dispensation</w:t>
      </w:r>
      <w:r w:rsidR="00566EDB">
        <w:rPr>
          <w:lang w:val="en-GB"/>
        </w:rPr>
        <w:t>s</w:t>
      </w:r>
      <w:r w:rsidR="00566EDB" w:rsidRPr="00566EDB">
        <w:rPr>
          <w:lang w:val="en-GB"/>
        </w:rPr>
        <w:t xml:space="preserve"> they need and in which contexts</w:t>
      </w:r>
      <w:r w:rsidR="00A91B85">
        <w:rPr>
          <w:lang w:val="en-GB"/>
        </w:rPr>
        <w:t>,</w:t>
      </w:r>
      <w:r w:rsidR="00566EDB" w:rsidRPr="00566EDB">
        <w:rPr>
          <w:lang w:val="en-GB"/>
        </w:rPr>
        <w:t xml:space="preserve"> such </w:t>
      </w:r>
      <w:r w:rsidR="00566EDB">
        <w:rPr>
          <w:lang w:val="en-GB"/>
        </w:rPr>
        <w:t xml:space="preserve">that </w:t>
      </w:r>
      <w:r w:rsidR="00566EDB" w:rsidRPr="00566EDB">
        <w:rPr>
          <w:lang w:val="en-GB"/>
        </w:rPr>
        <w:t>a</w:t>
      </w:r>
      <w:r w:rsidR="00566EDB">
        <w:rPr>
          <w:lang w:val="en-GB"/>
        </w:rPr>
        <w:t xml:space="preserve"> more reasonable and targeted</w:t>
      </w:r>
      <w:r w:rsidR="00566EDB" w:rsidRPr="00566EDB">
        <w:rPr>
          <w:lang w:val="en-GB"/>
        </w:rPr>
        <w:t xml:space="preserve"> exemption </w:t>
      </w:r>
      <w:r w:rsidR="00566EDB">
        <w:rPr>
          <w:lang w:val="en-GB"/>
        </w:rPr>
        <w:t>could be framed</w:t>
      </w:r>
      <w:r w:rsidR="00A91B85">
        <w:rPr>
          <w:lang w:val="en-GB"/>
        </w:rPr>
        <w:t xml:space="preserve"> </w:t>
      </w:r>
      <w:r w:rsidR="00A53D3E">
        <w:rPr>
          <w:lang w:val="en-GB"/>
        </w:rPr>
        <w:t>(</w:t>
      </w:r>
      <w:r w:rsidR="00A91B85">
        <w:rPr>
          <w:lang w:val="en-GB"/>
        </w:rPr>
        <w:t>if it would not</w:t>
      </w:r>
      <w:r w:rsidR="00A53D3E">
        <w:rPr>
          <w:lang w:val="en-GB"/>
        </w:rPr>
        <w:t xml:space="preserve"> otherwise</w:t>
      </w:r>
      <w:r w:rsidR="00A91B85">
        <w:rPr>
          <w:lang w:val="en-GB"/>
        </w:rPr>
        <w:t xml:space="preserve"> be appropriate for them to seek a temporary exemption in the same way as other organisations</w:t>
      </w:r>
      <w:r w:rsidR="00A53D3E">
        <w:rPr>
          <w:lang w:val="en-GB"/>
        </w:rPr>
        <w:t>)</w:t>
      </w:r>
      <w:r w:rsidR="00AB31F2">
        <w:rPr>
          <w:lang w:val="en-GB"/>
        </w:rPr>
        <w:t xml:space="preserve">. </w:t>
      </w:r>
    </w:p>
    <w:p w14:paraId="32208170" w14:textId="75804631" w:rsidR="00D81A50" w:rsidRPr="001E4350" w:rsidRDefault="00F24EB0" w:rsidP="00326D04">
      <w:pPr>
        <w:pStyle w:val="Bullet"/>
        <w:rPr>
          <w:lang w:val="en-GB"/>
        </w:rPr>
      </w:pPr>
      <w:r>
        <w:rPr>
          <w:lang w:val="en-GB"/>
        </w:rPr>
        <w:t xml:space="preserve">subsection 46(2) should </w:t>
      </w:r>
      <w:r w:rsidR="00856665">
        <w:rPr>
          <w:lang w:val="en-GB"/>
        </w:rPr>
        <w:t xml:space="preserve">be </w:t>
      </w:r>
      <w:r w:rsidR="00EB7513">
        <w:rPr>
          <w:lang w:val="en-GB"/>
        </w:rPr>
        <w:t xml:space="preserve">narrowed </w:t>
      </w:r>
      <w:r w:rsidR="00F42471">
        <w:rPr>
          <w:lang w:val="en-GB"/>
        </w:rPr>
        <w:t xml:space="preserve">to </w:t>
      </w:r>
      <w:r w:rsidR="00F40E06">
        <w:rPr>
          <w:lang w:val="en-GB"/>
        </w:rPr>
        <w:t xml:space="preserve">allow </w:t>
      </w:r>
      <w:r w:rsidR="00FA7A0C">
        <w:rPr>
          <w:lang w:val="en-GB"/>
        </w:rPr>
        <w:t>discrimination</w:t>
      </w:r>
      <w:r w:rsidR="00F40E06">
        <w:rPr>
          <w:lang w:val="en-GB"/>
        </w:rPr>
        <w:t xml:space="preserve"> on the ground of religious conviction</w:t>
      </w:r>
      <w:r w:rsidR="00FA7A0C">
        <w:rPr>
          <w:lang w:val="en-GB"/>
        </w:rPr>
        <w:t xml:space="preserve"> </w:t>
      </w:r>
      <w:r w:rsidR="009D50E9">
        <w:rPr>
          <w:lang w:val="en-GB"/>
        </w:rPr>
        <w:t>that</w:t>
      </w:r>
      <w:r w:rsidR="00D50FB4">
        <w:rPr>
          <w:lang w:val="en-GB"/>
        </w:rPr>
        <w:t xml:space="preserve"> </w:t>
      </w:r>
      <w:r w:rsidR="00F40E06" w:rsidRPr="00641B2D">
        <w:rPr>
          <w:i/>
          <w:iCs/>
          <w:lang w:val="en-GB"/>
        </w:rPr>
        <w:t>actually</w:t>
      </w:r>
      <w:r w:rsidR="00F40E06">
        <w:rPr>
          <w:lang w:val="en-GB"/>
        </w:rPr>
        <w:t xml:space="preserve"> </w:t>
      </w:r>
      <w:r w:rsidR="00D50FB4">
        <w:rPr>
          <w:lang w:val="en-GB"/>
        </w:rPr>
        <w:t xml:space="preserve">conforms </w:t>
      </w:r>
      <w:r w:rsidR="00856665">
        <w:rPr>
          <w:lang w:val="en-GB"/>
        </w:rPr>
        <w:t xml:space="preserve">to </w:t>
      </w:r>
      <w:r w:rsidR="00856665" w:rsidRPr="00856665">
        <w:rPr>
          <w:lang w:val="en-GB"/>
        </w:rPr>
        <w:t xml:space="preserve">the doctrines, tenets or beliefs of </w:t>
      </w:r>
      <w:r w:rsidR="00856665">
        <w:rPr>
          <w:lang w:val="en-GB"/>
        </w:rPr>
        <w:t xml:space="preserve">the </w:t>
      </w:r>
      <w:r w:rsidR="00582515">
        <w:rPr>
          <w:lang w:val="en-GB"/>
        </w:rPr>
        <w:t>institution’s</w:t>
      </w:r>
      <w:r w:rsidR="00856665" w:rsidRPr="00856665">
        <w:rPr>
          <w:lang w:val="en-GB"/>
        </w:rPr>
        <w:t xml:space="preserve"> religion</w:t>
      </w:r>
      <w:r w:rsidR="00582515">
        <w:rPr>
          <w:lang w:val="en-GB"/>
        </w:rPr>
        <w:t xml:space="preserve"> </w:t>
      </w:r>
      <w:r w:rsidR="00582515" w:rsidRPr="00D26E97">
        <w:rPr>
          <w:u w:val="single"/>
          <w:lang w:val="en-GB"/>
        </w:rPr>
        <w:t>and</w:t>
      </w:r>
      <w:r w:rsidR="00582515">
        <w:rPr>
          <w:lang w:val="en-GB"/>
        </w:rPr>
        <w:t xml:space="preserve"> it would be </w:t>
      </w:r>
      <w:r w:rsidR="00D50FB4">
        <w:t>reasonable and proportionate</w:t>
      </w:r>
      <w:r w:rsidR="005F7810">
        <w:t xml:space="preserve"> in all the circumstances </w:t>
      </w:r>
      <w:r w:rsidR="00D50FB4">
        <w:t xml:space="preserve">for the </w:t>
      </w:r>
      <w:r w:rsidR="00F40E06">
        <w:t>institution</w:t>
      </w:r>
      <w:r w:rsidR="00582515">
        <w:t xml:space="preserve"> to enforce its policy</w:t>
      </w:r>
      <w:r w:rsidR="005F7810">
        <w:t xml:space="preserve">, </w:t>
      </w:r>
      <w:r w:rsidR="00D26E97">
        <w:t xml:space="preserve">including </w:t>
      </w:r>
      <w:r w:rsidR="005F7810">
        <w:t>having regard to the countervailing interests of the affected staff members</w:t>
      </w:r>
      <w:r w:rsidR="00AB31F2">
        <w:t xml:space="preserve">. </w:t>
      </w:r>
      <w:r w:rsidR="00641B2D">
        <w:t xml:space="preserve">The current test </w:t>
      </w:r>
      <w:r w:rsidR="00855A8D">
        <w:t>which allows</w:t>
      </w:r>
      <w:r w:rsidR="00641B2D">
        <w:t xml:space="preserve"> discrimination</w:t>
      </w:r>
      <w:r w:rsidR="00855A8D">
        <w:t xml:space="preserve"> only because it is </w:t>
      </w:r>
      <w:r w:rsidR="00855A8D" w:rsidRPr="00855A8D">
        <w:rPr>
          <w:i/>
          <w:iCs/>
        </w:rPr>
        <w:t>‘intended to enable, or b</w:t>
      </w:r>
      <w:r w:rsidR="00641B2D" w:rsidRPr="00855A8D">
        <w:rPr>
          <w:i/>
          <w:iCs/>
        </w:rPr>
        <w:t xml:space="preserve">etter enable’ </w:t>
      </w:r>
      <w:r w:rsidR="00855A8D">
        <w:t xml:space="preserve">a religious educational institution’s particular religious </w:t>
      </w:r>
      <w:r w:rsidR="00FA03E2">
        <w:t>beliefs</w:t>
      </w:r>
      <w:r w:rsidR="00855A8D">
        <w:t xml:space="preserve">, is too loose and allows the </w:t>
      </w:r>
      <w:r w:rsidR="00904BBE">
        <w:t>religious</w:t>
      </w:r>
      <w:r w:rsidR="00855A8D">
        <w:t xml:space="preserve"> educational institution to</w:t>
      </w:r>
      <w:r w:rsidR="00FA03E2">
        <w:t xml:space="preserve"> simply</w:t>
      </w:r>
      <w:r w:rsidR="00855A8D">
        <w:t xml:space="preserve"> by-pass </w:t>
      </w:r>
      <w:r w:rsidR="00904BBE">
        <w:t xml:space="preserve">protections by </w:t>
      </w:r>
      <w:r w:rsidR="00FA03E2">
        <w:t xml:space="preserve">deliberately </w:t>
      </w:r>
      <w:r w:rsidR="00904BBE">
        <w:t>defining its policy in ways designed to enable it to discriminate.</w:t>
      </w:r>
    </w:p>
    <w:p w14:paraId="6E1740F9" w14:textId="7FA295C9" w:rsidR="00264F85" w:rsidRDefault="00904BBE" w:rsidP="00F337F1">
      <w:r w:rsidRPr="00F337F1">
        <w:t xml:space="preserve">These proposals are </w:t>
      </w:r>
      <w:r w:rsidR="00641B2D" w:rsidRPr="00F337F1">
        <w:t>similar to</w:t>
      </w:r>
      <w:r w:rsidR="003A48C8" w:rsidRPr="00F337F1">
        <w:t xml:space="preserve"> the approach which has recently been adopted in Victoria</w:t>
      </w:r>
      <w:r w:rsidR="00641B2D" w:rsidRPr="00F337F1">
        <w:t>,</w:t>
      </w:r>
      <w:r w:rsidR="003A48C8" w:rsidRPr="00F337F1">
        <w:rPr>
          <w:rStyle w:val="FootnoteReference"/>
        </w:rPr>
        <w:footnoteReference w:id="6"/>
      </w:r>
      <w:r w:rsidR="003A48C8" w:rsidRPr="00F337F1">
        <w:t xml:space="preserve"> </w:t>
      </w:r>
      <w:r w:rsidR="00641B2D" w:rsidRPr="00F337F1">
        <w:t>which itself represents a better-practice amalgamation of the approach taken in Europe, Tasmania and Queensland on employment exemptions for faith-based organisations.</w:t>
      </w:r>
      <w:r w:rsidR="00641B2D" w:rsidRPr="00F337F1">
        <w:rPr>
          <w:rStyle w:val="FootnoteReference"/>
        </w:rPr>
        <w:footnoteReference w:id="7"/>
      </w:r>
      <w:r w:rsidR="00641B2D" w:rsidRPr="00F337F1">
        <w:t xml:space="preserve">  </w:t>
      </w:r>
      <w:r w:rsidR="00F337F1" w:rsidRPr="00F337F1">
        <w:t xml:space="preserve">However, this approach does not rely on the </w:t>
      </w:r>
      <w:r w:rsidR="00264F85" w:rsidRPr="00F337F1">
        <w:t>‘inherent requirements’</w:t>
      </w:r>
      <w:r w:rsidR="00F337F1" w:rsidRPr="00F337F1">
        <w:t xml:space="preserve"> test</w:t>
      </w:r>
      <w:r w:rsidR="00FA03E2">
        <w:t xml:space="preserve"> found in Victoria</w:t>
      </w:r>
      <w:r w:rsidR="00F337F1" w:rsidRPr="00F337F1">
        <w:t xml:space="preserve">, </w:t>
      </w:r>
      <w:r w:rsidR="00264F85" w:rsidRPr="00F337F1">
        <w:t>which effectively allows the employer to structure its operations in order to preserve its ability to discriminate</w:t>
      </w:r>
      <w:r w:rsidR="00AB31F2">
        <w:t xml:space="preserve">. </w:t>
      </w:r>
      <w:r w:rsidR="00264F85" w:rsidRPr="00F337F1">
        <w:t>This has been the experience in some cases overseas,</w:t>
      </w:r>
      <w:r w:rsidR="00264F85" w:rsidRPr="00F337F1">
        <w:rPr>
          <w:vertAlign w:val="superscript"/>
        </w:rPr>
        <w:footnoteReference w:id="8"/>
      </w:r>
      <w:r w:rsidR="00264F85" w:rsidRPr="00F337F1">
        <w:t xml:space="preserve"> and is a risk identified in the case law on ‘inherent requirements’ in Australia.</w:t>
      </w:r>
      <w:r w:rsidR="00264F85" w:rsidRPr="00F337F1">
        <w:rPr>
          <w:vertAlign w:val="superscript"/>
        </w:rPr>
        <w:footnoteReference w:id="9"/>
      </w:r>
      <w:r w:rsidR="006C4844">
        <w:t xml:space="preserve">  That is why an objective ‘reasonable and proportionate in all the circumstances of the case’ </w:t>
      </w:r>
      <w:r w:rsidR="007C45CE">
        <w:t>test</w:t>
      </w:r>
      <w:r w:rsidR="006C4844">
        <w:t xml:space="preserve"> should</w:t>
      </w:r>
      <w:r w:rsidR="00F52251">
        <w:t xml:space="preserve"> </w:t>
      </w:r>
      <w:r w:rsidR="006C4844">
        <w:t xml:space="preserve">be </w:t>
      </w:r>
      <w:r w:rsidR="007C45CE">
        <w:t>added to sections 32(1)(d) and 42(2) at least</w:t>
      </w:r>
      <w:r w:rsidR="006C4844">
        <w:t xml:space="preserve">, </w:t>
      </w:r>
      <w:r w:rsidR="007C45CE">
        <w:t xml:space="preserve">to provide </w:t>
      </w:r>
      <w:r w:rsidR="00DC7943">
        <w:t>for that balancing of competing rights and interests</w:t>
      </w:r>
      <w:r w:rsidR="00AB31F2">
        <w:t xml:space="preserve">. </w:t>
      </w:r>
      <w:r w:rsidR="00915D7C">
        <w:t xml:space="preserve">Sections 26(1)(b), 44 and 46(1) of the Act could similarly be improved with the addition of this </w:t>
      </w:r>
      <w:r w:rsidR="00010D03">
        <w:t>balancing test.</w:t>
      </w:r>
    </w:p>
    <w:p w14:paraId="27028D12" w14:textId="0F745323" w:rsidR="000070DA" w:rsidRDefault="000070DA" w:rsidP="000070DA">
      <w:pPr>
        <w:pStyle w:val="Heading2"/>
      </w:pPr>
      <w:bookmarkStart w:id="10" w:name="_Toc94283549"/>
      <w:r>
        <w:t>Additional comments on specific questions</w:t>
      </w:r>
      <w:bookmarkEnd w:id="10"/>
    </w:p>
    <w:p w14:paraId="56E863D8" w14:textId="685A2CD2" w:rsidR="008F4191" w:rsidRDefault="000070DA" w:rsidP="00264F85">
      <w:r>
        <w:t>To respond</w:t>
      </w:r>
      <w:r w:rsidR="00464156">
        <w:t xml:space="preserve"> further</w:t>
      </w:r>
      <w:r>
        <w:t xml:space="preserve"> to </w:t>
      </w:r>
      <w:r w:rsidR="008F4191">
        <w:t xml:space="preserve">some of </w:t>
      </w:r>
      <w:r w:rsidR="00264F85">
        <w:t>the Discussion Paper</w:t>
      </w:r>
      <w:r w:rsidR="008F4191">
        <w:t>’</w:t>
      </w:r>
      <w:r w:rsidR="00264F85">
        <w:t xml:space="preserve">s </w:t>
      </w:r>
      <w:r w:rsidR="008F4191">
        <w:t xml:space="preserve">detailed </w:t>
      </w:r>
      <w:r w:rsidR="00264F85">
        <w:t>question</w:t>
      </w:r>
      <w:r w:rsidR="008F4191">
        <w:t>s:</w:t>
      </w:r>
      <w:r w:rsidR="00264F85">
        <w:t xml:space="preserve"> </w:t>
      </w:r>
    </w:p>
    <w:p w14:paraId="10C01464" w14:textId="74A5EBA4" w:rsidR="00464156" w:rsidRDefault="008F4191" w:rsidP="008F4191">
      <w:pPr>
        <w:pStyle w:val="Bullet"/>
      </w:pPr>
      <w:r>
        <w:lastRenderedPageBreak/>
        <w:t xml:space="preserve">we would support the </w:t>
      </w:r>
      <w:r w:rsidR="00464156">
        <w:t xml:space="preserve">adding of a ‘reasonable and proportionate in all the circumstances’ test to sections </w:t>
      </w:r>
      <w:r w:rsidR="00103361">
        <w:t xml:space="preserve">26(1)(b), </w:t>
      </w:r>
      <w:r w:rsidR="00464156">
        <w:t xml:space="preserve">32(1)(d), 42(2), </w:t>
      </w:r>
      <w:r w:rsidR="00103361">
        <w:t>42(2), 44 and 46(1) to provide a balancing mechanism</w:t>
      </w:r>
      <w:r w:rsidR="00B74F11">
        <w:t>, so that</w:t>
      </w:r>
      <w:r w:rsidR="00103361">
        <w:t xml:space="preserve"> the countervailing interests of</w:t>
      </w:r>
      <w:r w:rsidR="001168BB">
        <w:t xml:space="preserve"> the</w:t>
      </w:r>
      <w:r w:rsidR="00103361">
        <w:t xml:space="preserve"> person </w:t>
      </w:r>
      <w:r w:rsidR="001168BB">
        <w:t>being discriminated against</w:t>
      </w:r>
      <w:r w:rsidR="00B74F11">
        <w:t xml:space="preserve"> can also be </w:t>
      </w:r>
      <w:r w:rsidR="00443E79">
        <w:t xml:space="preserve">properly </w:t>
      </w:r>
      <w:r w:rsidR="00B74F11">
        <w:t>considered</w:t>
      </w:r>
      <w:r w:rsidR="00103361">
        <w:t>;</w:t>
      </w:r>
    </w:p>
    <w:p w14:paraId="1060C703" w14:textId="48668EDF" w:rsidR="00103361" w:rsidRDefault="00313175" w:rsidP="008F4191">
      <w:pPr>
        <w:pStyle w:val="Bullet"/>
      </w:pPr>
      <w:r>
        <w:rPr>
          <w:lang w:val="en-GB"/>
        </w:rPr>
        <w:t xml:space="preserve">we </w:t>
      </w:r>
      <w:r>
        <w:t>do not believe a sector-based approach to the religious bodies exception</w:t>
      </w:r>
      <w:r w:rsidR="00443E79">
        <w:t xml:space="preserve"> in section 32(1)(d)</w:t>
      </w:r>
      <w:r>
        <w:t>, such as one distinguishing between organisations that receive a certain proportion of public funding and those that do not, is a reliable determinant of obligations.</w:t>
      </w:r>
      <w:r w:rsidRPr="00313175">
        <w:rPr>
          <w:rStyle w:val="FootnoteReference"/>
        </w:rPr>
        <w:t xml:space="preserve"> </w:t>
      </w:r>
      <w:r>
        <w:rPr>
          <w:rStyle w:val="FootnoteReference"/>
        </w:rPr>
        <w:footnoteReference w:id="10"/>
      </w:r>
      <w:r>
        <w:t xml:space="preserve">  A</w:t>
      </w:r>
      <w:r w:rsidRPr="00313175">
        <w:t xml:space="preserve"> member of the public seeking goods or services from an organisation may not know whether such </w:t>
      </w:r>
      <w:r w:rsidR="00443E79">
        <w:t xml:space="preserve">an </w:t>
      </w:r>
      <w:r w:rsidRPr="00313175">
        <w:t>organisation receives public funding or not, and therefore whether it is able to conduct its activities in such a way that discriminates against a person or a group of people based on certain attributes</w:t>
      </w:r>
      <w:r w:rsidR="00AB31F2">
        <w:t xml:space="preserve">. </w:t>
      </w:r>
      <w:r>
        <w:t xml:space="preserve">The ‘reasonable and proportionate in all the circumstances test’ would allow </w:t>
      </w:r>
      <w:r w:rsidR="007F5B9E">
        <w:t>consideration</w:t>
      </w:r>
      <w:r w:rsidR="00B40ED2">
        <w:t xml:space="preserve">s of public funding to be weighed </w:t>
      </w:r>
      <w:r w:rsidR="00402465">
        <w:t xml:space="preserve">up </w:t>
      </w:r>
      <w:r w:rsidR="00B40ED2">
        <w:t xml:space="preserve">in deciding whether discrimination </w:t>
      </w:r>
      <w:r w:rsidR="00CB3D47">
        <w:t xml:space="preserve">by a religious body </w:t>
      </w:r>
      <w:r w:rsidR="00B40ED2">
        <w:t>is justified</w:t>
      </w:r>
      <w:r w:rsidR="00CB3D47">
        <w:t xml:space="preserve"> in the circumstances</w:t>
      </w:r>
      <w:r w:rsidR="00B40ED2">
        <w:t>;</w:t>
      </w:r>
    </w:p>
    <w:p w14:paraId="0FF3472C" w14:textId="5C7237B7" w:rsidR="007F5B9E" w:rsidRDefault="002678F4" w:rsidP="008F4191">
      <w:pPr>
        <w:pStyle w:val="Bullet"/>
      </w:pPr>
      <w:r>
        <w:t>we do not think that the phrase ‘established for religious purposes’ is likely to cover bodies with</w:t>
      </w:r>
      <w:r w:rsidR="00A3175F">
        <w:t xml:space="preserve"> solely or primarily</w:t>
      </w:r>
      <w:r>
        <w:t xml:space="preserve"> commercial purposes.</w:t>
      </w:r>
      <w:r w:rsidR="00A3175F">
        <w:rPr>
          <w:rStyle w:val="FootnoteReference"/>
        </w:rPr>
        <w:footnoteReference w:id="11"/>
      </w:r>
      <w:r w:rsidR="00194F18">
        <w:t xml:space="preserve">  </w:t>
      </w:r>
      <w:r w:rsidR="006F7383">
        <w:t xml:space="preserve">However, we would have no objection to </w:t>
      </w:r>
      <w:r w:rsidR="00606FF3">
        <w:t>clarifying that a religious body cannot be one with</w:t>
      </w:r>
      <w:r w:rsidR="00362E30">
        <w:t xml:space="preserve"> a</w:t>
      </w:r>
      <w:r w:rsidR="00606FF3">
        <w:t xml:space="preserve"> commercial purpose</w:t>
      </w:r>
      <w:r w:rsidR="00AB31F2">
        <w:t xml:space="preserve">. </w:t>
      </w:r>
      <w:r w:rsidR="003F6C67">
        <w:t xml:space="preserve">This change, however, would not fix the principal problem with section 32(1)(d), given our concern that </w:t>
      </w:r>
      <w:r w:rsidR="000306C5">
        <w:t>many not-for-profit religious organisations provide goods, services, facilities, premises and accommodation</w:t>
      </w:r>
      <w:r w:rsidR="00362E30">
        <w:t xml:space="preserve"> which are not commercial in nature</w:t>
      </w:r>
      <w:r w:rsidR="000306C5">
        <w:t xml:space="preserve">, such as </w:t>
      </w:r>
      <w:r w:rsidR="0069605D">
        <w:t xml:space="preserve">health or aged care services, disability, homelessness, family and domestic violence and financial assistance.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2003B4" w14:paraId="77ABB9B9" w14:textId="77777777" w:rsidTr="00BB79D2">
        <w:tc>
          <w:tcPr>
            <w:tcW w:w="8871" w:type="dxa"/>
            <w:tcMar>
              <w:bottom w:w="142" w:type="dxa"/>
            </w:tcMar>
          </w:tcPr>
          <w:p w14:paraId="37CB7A5F" w14:textId="5AAF076E" w:rsidR="00853B1B" w:rsidRDefault="00853B1B" w:rsidP="00853B1B">
            <w:pPr>
              <w:pStyle w:val="Heading3"/>
              <w:outlineLvl w:val="2"/>
            </w:pPr>
            <w:r>
              <w:t>recommendation</w:t>
            </w:r>
            <w:r w:rsidR="002730EB">
              <w:t xml:space="preserve"> 1</w:t>
            </w:r>
          </w:p>
          <w:p w14:paraId="6800D1CE" w14:textId="68C4E627" w:rsidR="00011482" w:rsidRDefault="00101221" w:rsidP="00853B1B">
            <w:r>
              <w:t xml:space="preserve">Introduce a ‘reasonable and proportionate in all the circumstances of the case’ test into </w:t>
            </w:r>
            <w:r w:rsidR="008617C5">
              <w:t>sub</w:t>
            </w:r>
            <w:r>
              <w:t xml:space="preserve">sections 26(1)(b), 32(1)(d), 42(2), 42(2), 44 and 46(1), such that </w:t>
            </w:r>
            <w:r w:rsidR="00E61659">
              <w:t xml:space="preserve">any </w:t>
            </w:r>
            <w:r>
              <w:t xml:space="preserve">discrimination by religious bodies and educational institutions </w:t>
            </w:r>
            <w:r w:rsidR="00E61659">
              <w:t>must be reasonable and proportionate in all the circumstances of the case</w:t>
            </w:r>
            <w:r w:rsidR="00AB31F2">
              <w:t xml:space="preserve">. </w:t>
            </w:r>
          </w:p>
          <w:p w14:paraId="445A4F05" w14:textId="2E12C773" w:rsidR="002003B4" w:rsidRDefault="007C0E65" w:rsidP="00853B1B">
            <w:r>
              <w:t xml:space="preserve">In considering </w:t>
            </w:r>
            <w:r w:rsidR="00011482">
              <w:t>whether any discrimination is reasonable and proportionate</w:t>
            </w:r>
            <w:r>
              <w:t>, courts should be required to have regard to all the circumstances of the case, including:</w:t>
            </w:r>
          </w:p>
          <w:p w14:paraId="030F311F" w14:textId="49446ADE" w:rsidR="007C0E65" w:rsidRDefault="007C0E65" w:rsidP="007C0E65">
            <w:pPr>
              <w:pStyle w:val="Bullet"/>
            </w:pPr>
            <w:r>
              <w:t xml:space="preserve">the impact of the discrimination on the affected </w:t>
            </w:r>
            <w:r w:rsidR="002B7C21">
              <w:t>individual</w:t>
            </w:r>
            <w:r>
              <w:t>;</w:t>
            </w:r>
          </w:p>
          <w:p w14:paraId="00B6962C" w14:textId="42A8960D" w:rsidR="00E61659" w:rsidRDefault="007C0E65" w:rsidP="00853B1B">
            <w:pPr>
              <w:pStyle w:val="Bullet"/>
              <w:rPr>
                <w:rStyle w:val="PageNumber"/>
              </w:rPr>
            </w:pPr>
            <w:r>
              <w:t>to what extent the goods, services, facilities, premises or accommodation are publicly funded or support</w:t>
            </w:r>
            <w:r w:rsidR="008617C5">
              <w:t>ed</w:t>
            </w:r>
            <w:r>
              <w:t>.</w:t>
            </w:r>
          </w:p>
        </w:tc>
      </w:tr>
    </w:tbl>
    <w:p w14:paraId="3BD0AF34" w14:textId="19D7711B" w:rsidR="005375D5" w:rsidRDefault="005375D5" w:rsidP="000812B1">
      <w:pPr>
        <w:pStyle w:val="NoSpacing"/>
      </w:pP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0812B1" w14:paraId="648EC6D7" w14:textId="77777777" w:rsidTr="0069133E">
        <w:tc>
          <w:tcPr>
            <w:tcW w:w="8871" w:type="dxa"/>
            <w:tcMar>
              <w:bottom w:w="142" w:type="dxa"/>
            </w:tcMar>
          </w:tcPr>
          <w:p w14:paraId="405B4D37" w14:textId="786717D5" w:rsidR="000812B1" w:rsidRDefault="000812B1" w:rsidP="0069133E">
            <w:pPr>
              <w:pStyle w:val="Heading3"/>
              <w:outlineLvl w:val="2"/>
            </w:pPr>
            <w:r>
              <w:t>recommendation</w:t>
            </w:r>
            <w:r w:rsidR="002730EB">
              <w:t xml:space="preserve"> 2</w:t>
            </w:r>
          </w:p>
          <w:p w14:paraId="772BC0C2" w14:textId="34F71299" w:rsidR="000812B1" w:rsidRDefault="002730EB" w:rsidP="000812B1">
            <w:pPr>
              <w:rPr>
                <w:rStyle w:val="PageNumber"/>
              </w:rPr>
            </w:pPr>
            <w:r>
              <w:t>A</w:t>
            </w:r>
            <w:r w:rsidR="000812B1">
              <w:t>mend</w:t>
            </w:r>
            <w:r w:rsidR="000812B1">
              <w:rPr>
                <w:rStyle w:val="PageNumber"/>
              </w:rPr>
              <w:t xml:space="preserve"> </w:t>
            </w:r>
            <w:r w:rsidR="00786476">
              <w:rPr>
                <w:rStyle w:val="PageNumber"/>
              </w:rPr>
              <w:t>sub</w:t>
            </w:r>
            <w:r w:rsidR="000812B1">
              <w:rPr>
                <w:rStyle w:val="PageNumber"/>
              </w:rPr>
              <w:t>section 32(1)(d) to limit its application to discrimination based on religious conviction only.</w:t>
            </w:r>
          </w:p>
        </w:tc>
      </w:tr>
    </w:tbl>
    <w:p w14:paraId="55E7E1F6" w14:textId="77777777" w:rsidR="000812B1" w:rsidRDefault="000812B1" w:rsidP="000812B1">
      <w:pPr>
        <w:pStyle w:val="NoSpacing"/>
      </w:pP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0812B1" w14:paraId="7550291A" w14:textId="77777777" w:rsidTr="0069133E">
        <w:tc>
          <w:tcPr>
            <w:tcW w:w="8871" w:type="dxa"/>
            <w:tcMar>
              <w:bottom w:w="142" w:type="dxa"/>
            </w:tcMar>
          </w:tcPr>
          <w:p w14:paraId="3BD484EA" w14:textId="746AA6A1" w:rsidR="000812B1" w:rsidRDefault="000812B1" w:rsidP="0069133E">
            <w:pPr>
              <w:pStyle w:val="Heading3"/>
              <w:outlineLvl w:val="2"/>
            </w:pPr>
            <w:r>
              <w:t>recommendation</w:t>
            </w:r>
            <w:r w:rsidR="002730EB">
              <w:t xml:space="preserve"> 3</w:t>
            </w:r>
          </w:p>
          <w:p w14:paraId="62FBEA16" w14:textId="0124AE9C" w:rsidR="000812B1" w:rsidRDefault="002730EB" w:rsidP="0069133E">
            <w:pPr>
              <w:rPr>
                <w:rStyle w:val="PageNumber"/>
              </w:rPr>
            </w:pPr>
            <w:r>
              <w:t>R</w:t>
            </w:r>
            <w:r w:rsidR="002B2C49">
              <w:t xml:space="preserve">epeal </w:t>
            </w:r>
            <w:r w:rsidR="000902E0">
              <w:t>sub</w:t>
            </w:r>
            <w:r w:rsidR="002B2C49">
              <w:t xml:space="preserve">section 46(2)(b) and replace with </w:t>
            </w:r>
            <w:r w:rsidR="002B2C49" w:rsidRPr="00873AC7">
              <w:rPr>
                <w:i/>
                <w:iCs/>
              </w:rPr>
              <w:t>‘the discrimination</w:t>
            </w:r>
            <w:r w:rsidR="00844F95" w:rsidRPr="00873AC7">
              <w:rPr>
                <w:i/>
                <w:iCs/>
              </w:rPr>
              <w:t xml:space="preserve"> conforms </w:t>
            </w:r>
            <w:r w:rsidR="00873AC7" w:rsidRPr="00873AC7">
              <w:rPr>
                <w:i/>
                <w:iCs/>
              </w:rPr>
              <w:t>to</w:t>
            </w:r>
            <w:r w:rsidR="00844F95" w:rsidRPr="00873AC7">
              <w:rPr>
                <w:i/>
                <w:iCs/>
              </w:rPr>
              <w:t xml:space="preserve"> the doctrines, tenets, beliefs or teachings of </w:t>
            </w:r>
            <w:r w:rsidR="00873AC7" w:rsidRPr="00873AC7">
              <w:rPr>
                <w:i/>
                <w:iCs/>
              </w:rPr>
              <w:t>that</w:t>
            </w:r>
            <w:r w:rsidR="00844F95" w:rsidRPr="00873AC7">
              <w:rPr>
                <w:i/>
                <w:iCs/>
              </w:rPr>
              <w:t xml:space="preserve"> </w:t>
            </w:r>
            <w:r w:rsidR="00873AC7" w:rsidRPr="00873AC7">
              <w:rPr>
                <w:i/>
                <w:iCs/>
              </w:rPr>
              <w:t>particular religion or creed</w:t>
            </w:r>
            <w:r w:rsidR="00844F95" w:rsidRPr="00873AC7">
              <w:rPr>
                <w:i/>
                <w:iCs/>
              </w:rPr>
              <w:t>’</w:t>
            </w:r>
            <w:r w:rsidR="00873AC7">
              <w:rPr>
                <w:i/>
                <w:iCs/>
              </w:rPr>
              <w:t>.</w:t>
            </w:r>
          </w:p>
        </w:tc>
      </w:tr>
    </w:tbl>
    <w:p w14:paraId="1C454C91" w14:textId="77777777" w:rsidR="00B54D36" w:rsidRDefault="00B54D36" w:rsidP="00294E57">
      <w:pPr>
        <w:rPr>
          <w:rStyle w:val="PageNumber"/>
        </w:rPr>
      </w:pPr>
    </w:p>
    <w:p w14:paraId="22B8087B" w14:textId="77777777" w:rsidR="00B54D36" w:rsidRDefault="00B54D36">
      <w:pPr>
        <w:spacing w:before="0" w:after="160" w:line="259" w:lineRule="auto"/>
        <w:rPr>
          <w:rStyle w:val="PageNumber"/>
          <w:rFonts w:asciiTheme="majorHAnsi" w:hAnsiTheme="majorHAnsi"/>
          <w:caps/>
          <w:color w:val="00A0E6" w:themeColor="accent1"/>
          <w:spacing w:val="0"/>
          <w:sz w:val="46"/>
        </w:rPr>
      </w:pPr>
      <w:r>
        <w:rPr>
          <w:rStyle w:val="PageNumber"/>
        </w:rPr>
        <w:br w:type="page"/>
      </w:r>
    </w:p>
    <w:p w14:paraId="791ACCA8" w14:textId="79E488D2" w:rsidR="00853B1B" w:rsidRDefault="00B626AB" w:rsidP="00B54D36">
      <w:pPr>
        <w:pStyle w:val="Section"/>
        <w:rPr>
          <w:rStyle w:val="PageNumber"/>
        </w:rPr>
      </w:pPr>
      <w:bookmarkStart w:id="11" w:name="_Toc94283550"/>
      <w:r>
        <w:rPr>
          <w:rStyle w:val="PageNumber"/>
        </w:rPr>
        <w:t>B</w:t>
      </w:r>
      <w:r w:rsidR="00B54D36">
        <w:rPr>
          <w:rStyle w:val="PageNumber"/>
        </w:rPr>
        <w:t xml:space="preserve">est practice reforms to the </w:t>
      </w:r>
      <w:r>
        <w:rPr>
          <w:rStyle w:val="PageNumber"/>
        </w:rPr>
        <w:t>Act</w:t>
      </w:r>
      <w:bookmarkEnd w:id="11"/>
    </w:p>
    <w:p w14:paraId="1EA6481B" w14:textId="14E0E742" w:rsidR="00A2291D" w:rsidRDefault="00A2291D" w:rsidP="00A2291D">
      <w:pPr>
        <w:pStyle w:val="Heading1"/>
        <w:rPr>
          <w:rStyle w:val="PageNumber"/>
        </w:rPr>
      </w:pPr>
      <w:bookmarkStart w:id="12" w:name="_Toc94283551"/>
      <w:r>
        <w:rPr>
          <w:rStyle w:val="PageNumber"/>
        </w:rPr>
        <w:t>Improving the definition of discrimination</w:t>
      </w:r>
      <w:bookmarkEnd w:id="12"/>
    </w:p>
    <w:p w14:paraId="32ED8F5B" w14:textId="72D27113" w:rsidR="003F4874" w:rsidRDefault="003F4874" w:rsidP="003F4874">
      <w:pPr>
        <w:pStyle w:val="Intro"/>
        <w:rPr>
          <w:b w:val="0"/>
          <w:bCs/>
        </w:rPr>
      </w:pPr>
      <w:r w:rsidRPr="003628D0">
        <w:rPr>
          <w:b w:val="0"/>
          <w:bCs/>
        </w:rPr>
        <w:t>People who are discriminated against should be able to understand their rights and be able to enforce them easily</w:t>
      </w:r>
      <w:r w:rsidR="00AB31F2">
        <w:rPr>
          <w:b w:val="0"/>
          <w:bCs/>
        </w:rPr>
        <w:t xml:space="preserve">. </w:t>
      </w:r>
      <w:r w:rsidRPr="003628D0">
        <w:rPr>
          <w:b w:val="0"/>
          <w:bCs/>
        </w:rPr>
        <w:t>The Act currently defines discrimination as when a person discriminates either directly or indirectly, or both, against someone else.</w:t>
      </w:r>
      <w:r w:rsidRPr="003628D0">
        <w:rPr>
          <w:rStyle w:val="FootnoteReference"/>
          <w:b w:val="0"/>
          <w:bCs/>
        </w:rPr>
        <w:footnoteReference w:id="12"/>
      </w:r>
      <w:r w:rsidRPr="003628D0">
        <w:rPr>
          <w:b w:val="0"/>
          <w:bCs/>
        </w:rPr>
        <w:t xml:space="preserve"> </w:t>
      </w:r>
      <w:r>
        <w:rPr>
          <w:b w:val="0"/>
          <w:bCs/>
        </w:rPr>
        <w:t xml:space="preserve"> </w:t>
      </w:r>
      <w:r w:rsidRPr="003628D0">
        <w:rPr>
          <w:b w:val="0"/>
          <w:bCs/>
        </w:rPr>
        <w:t xml:space="preserve">Though this definition </w:t>
      </w:r>
      <w:r w:rsidR="0091715A">
        <w:rPr>
          <w:b w:val="0"/>
          <w:bCs/>
        </w:rPr>
        <w:t>is better than some of the more c</w:t>
      </w:r>
      <w:r w:rsidRPr="003628D0">
        <w:rPr>
          <w:b w:val="0"/>
          <w:bCs/>
        </w:rPr>
        <w:t xml:space="preserve">omplex legal tests </w:t>
      </w:r>
      <w:r w:rsidR="0091715A">
        <w:rPr>
          <w:b w:val="0"/>
          <w:bCs/>
        </w:rPr>
        <w:t xml:space="preserve">existing </w:t>
      </w:r>
      <w:r w:rsidRPr="003628D0">
        <w:rPr>
          <w:b w:val="0"/>
          <w:bCs/>
        </w:rPr>
        <w:t xml:space="preserve">under other legislation across Australia, </w:t>
      </w:r>
      <w:r w:rsidR="002200BD">
        <w:rPr>
          <w:b w:val="0"/>
          <w:bCs/>
        </w:rPr>
        <w:t xml:space="preserve">the definition of </w:t>
      </w:r>
      <w:r w:rsidR="0091715A">
        <w:rPr>
          <w:b w:val="0"/>
          <w:bCs/>
        </w:rPr>
        <w:t>‘</w:t>
      </w:r>
      <w:r w:rsidR="002200BD">
        <w:rPr>
          <w:b w:val="0"/>
          <w:bCs/>
        </w:rPr>
        <w:t>discrimination</w:t>
      </w:r>
      <w:r w:rsidR="0091715A">
        <w:rPr>
          <w:b w:val="0"/>
          <w:bCs/>
        </w:rPr>
        <w:t>’</w:t>
      </w:r>
      <w:r w:rsidR="002200BD">
        <w:rPr>
          <w:b w:val="0"/>
          <w:bCs/>
        </w:rPr>
        <w:t xml:space="preserve"> could be clarified and expanded</w:t>
      </w:r>
      <w:r>
        <w:rPr>
          <w:b w:val="0"/>
          <w:bCs/>
        </w:rPr>
        <w:t>.</w:t>
      </w:r>
    </w:p>
    <w:p w14:paraId="0AEE7873" w14:textId="71C343A7" w:rsidR="002200BD" w:rsidRDefault="002200BD" w:rsidP="002200BD">
      <w:pPr>
        <w:pStyle w:val="Heading2"/>
      </w:pPr>
      <w:bookmarkStart w:id="13" w:name="_Toc94283552"/>
      <w:bookmarkStart w:id="14" w:name="_Ref94284296"/>
      <w:r>
        <w:t>Harassment is a form of discrimination</w:t>
      </w:r>
      <w:bookmarkEnd w:id="13"/>
      <w:bookmarkEnd w:id="14"/>
    </w:p>
    <w:p w14:paraId="3BADF97A" w14:textId="1D405087" w:rsidR="00780A42" w:rsidRDefault="0091715A" w:rsidP="00780A42">
      <w:r w:rsidRPr="0091715A">
        <w:t>Everyone deserves to work, study and live with dignity and respect, no matter who they are or whom they love. Yet, the Act only explicitly prohibits sexual harassment,</w:t>
      </w:r>
      <w:r w:rsidR="00DF2E94">
        <w:rPr>
          <w:rStyle w:val="FootnoteReference"/>
        </w:rPr>
        <w:footnoteReference w:id="13"/>
      </w:r>
      <w:r w:rsidRPr="0091715A">
        <w:t xml:space="preserve"> leaving everyone else </w:t>
      </w:r>
      <w:r w:rsidR="00C34C41">
        <w:t xml:space="preserve">who experiences harassment on other grounds </w:t>
      </w:r>
      <w:r w:rsidRPr="0091715A">
        <w:t xml:space="preserve">to rely on </w:t>
      </w:r>
      <w:r>
        <w:t xml:space="preserve">more </w:t>
      </w:r>
      <w:r w:rsidRPr="0091715A">
        <w:t>complex discrimination protections</w:t>
      </w:r>
      <w:r w:rsidR="00AB31F2">
        <w:t xml:space="preserve">. </w:t>
      </w:r>
    </w:p>
    <w:p w14:paraId="70ECA2D6" w14:textId="7CFF9A37" w:rsidR="00E94F44" w:rsidRDefault="00780A42" w:rsidP="00E94F44">
      <w:r>
        <w:t xml:space="preserve">Including separate </w:t>
      </w:r>
      <w:r w:rsidR="00C34C41">
        <w:t xml:space="preserve">harassment </w:t>
      </w:r>
      <w:r>
        <w:t>protections</w:t>
      </w:r>
      <w:r w:rsidR="00C34C41">
        <w:t xml:space="preserve"> </w:t>
      </w:r>
      <w:r>
        <w:t xml:space="preserve">would </w:t>
      </w:r>
      <w:r w:rsidR="00C34C41">
        <w:t>make a discrimination complaint involving harassment</w:t>
      </w:r>
      <w:r>
        <w:t xml:space="preserve"> </w:t>
      </w:r>
      <w:r w:rsidR="005C2497">
        <w:t xml:space="preserve">based </w:t>
      </w:r>
      <w:r>
        <w:t xml:space="preserve">on </w:t>
      </w:r>
      <w:r w:rsidR="005C2497">
        <w:t xml:space="preserve">other protected attributes </w:t>
      </w:r>
      <w:r w:rsidR="00C34C41">
        <w:t>much simpler</w:t>
      </w:r>
      <w:r w:rsidR="00AB31F2">
        <w:t xml:space="preserve">. </w:t>
      </w:r>
      <w:r w:rsidR="00E94F44" w:rsidRPr="002F388C">
        <w:t xml:space="preserve">Several other laws have taken this approach, including the Commonwealth </w:t>
      </w:r>
      <w:r w:rsidR="00E94F44" w:rsidRPr="002F388C">
        <w:rPr>
          <w:i/>
          <w:iCs/>
        </w:rPr>
        <w:t>Disability Discrimination Act</w:t>
      </w:r>
      <w:r w:rsidR="00E94F44" w:rsidRPr="002F388C">
        <w:rPr>
          <w:rStyle w:val="FootnoteReference"/>
          <w:bCs/>
          <w:i/>
          <w:iCs/>
        </w:rPr>
        <w:footnoteReference w:id="14"/>
      </w:r>
      <w:r w:rsidR="00E94F44" w:rsidRPr="002F388C">
        <w:rPr>
          <w:i/>
          <w:iCs/>
        </w:rPr>
        <w:t xml:space="preserve"> </w:t>
      </w:r>
      <w:r w:rsidR="00E94F44" w:rsidRPr="002F388C">
        <w:t>and the Northern Territory</w:t>
      </w:r>
      <w:r w:rsidR="00E94F44" w:rsidRPr="002F388C">
        <w:rPr>
          <w:i/>
          <w:iCs/>
        </w:rPr>
        <w:t>,</w:t>
      </w:r>
      <w:r w:rsidR="00E94F44" w:rsidRPr="00203FF5">
        <w:rPr>
          <w:rStyle w:val="FootnoteReference"/>
          <w:bCs/>
        </w:rPr>
        <w:footnoteReference w:id="15"/>
      </w:r>
      <w:r w:rsidR="00E94F44" w:rsidRPr="002F388C">
        <w:rPr>
          <w:i/>
          <w:iCs/>
        </w:rPr>
        <w:t xml:space="preserve"> </w:t>
      </w:r>
      <w:r w:rsidR="00E94F44" w:rsidRPr="002F388C">
        <w:t xml:space="preserve">and in broader ways, so has the Commonwealth </w:t>
      </w:r>
      <w:r w:rsidR="00E94F44" w:rsidRPr="002F388C">
        <w:rPr>
          <w:i/>
          <w:iCs/>
        </w:rPr>
        <w:t>Racial Discrimination Act</w:t>
      </w:r>
      <w:r w:rsidR="00E94F44" w:rsidRPr="002F388C">
        <w:rPr>
          <w:rStyle w:val="FootnoteReference"/>
          <w:bCs/>
          <w:i/>
          <w:iCs/>
        </w:rPr>
        <w:footnoteReference w:id="16"/>
      </w:r>
      <w:r w:rsidR="00E94F44" w:rsidRPr="002F388C">
        <w:rPr>
          <w:i/>
          <w:iCs/>
        </w:rPr>
        <w:t xml:space="preserve"> </w:t>
      </w:r>
      <w:r w:rsidR="00E94F44" w:rsidRPr="002F388C">
        <w:t>and Tasmania.</w:t>
      </w:r>
      <w:r w:rsidR="00E94F44" w:rsidRPr="002F388C">
        <w:rPr>
          <w:rStyle w:val="FootnoteReference"/>
          <w:bCs/>
        </w:rPr>
        <w:footnoteReference w:id="17"/>
      </w:r>
    </w:p>
    <w:p w14:paraId="6125E1FD" w14:textId="599A9EA6" w:rsidR="007C6CBC" w:rsidRDefault="007C6CBC" w:rsidP="007C6CBC">
      <w:bookmarkStart w:id="15" w:name="_Hlk94273465"/>
      <w:r>
        <w:t>The benefit of separate harassment provisions is that they make a discrimination complaint involving harassment much simpler, given the person will not have to identify how the conduct meets the more complex direct or indirect discrimination test</w:t>
      </w:r>
      <w:r w:rsidR="00AB31F2">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61608C" w14:paraId="368451DF" w14:textId="77777777" w:rsidTr="0069133E">
        <w:tc>
          <w:tcPr>
            <w:tcW w:w="8871" w:type="dxa"/>
            <w:tcMar>
              <w:bottom w:w="142" w:type="dxa"/>
            </w:tcMar>
          </w:tcPr>
          <w:bookmarkEnd w:id="15"/>
          <w:p w14:paraId="3907913B" w14:textId="615DB84F" w:rsidR="0061608C" w:rsidRDefault="0061608C" w:rsidP="0069133E">
            <w:pPr>
              <w:pStyle w:val="Heading3"/>
              <w:outlineLvl w:val="2"/>
            </w:pPr>
            <w:r>
              <w:t>recommendation 4</w:t>
            </w:r>
          </w:p>
          <w:p w14:paraId="725B6025" w14:textId="480710CD" w:rsidR="0061608C" w:rsidRDefault="0061608C" w:rsidP="0069133E">
            <w:pPr>
              <w:rPr>
                <w:rStyle w:val="PageNumber"/>
              </w:rPr>
            </w:pPr>
            <w:r>
              <w:t>Amend</w:t>
            </w:r>
            <w:r>
              <w:rPr>
                <w:rStyle w:val="PageNumber"/>
              </w:rPr>
              <w:t xml:space="preserve"> section </w:t>
            </w:r>
            <w:r w:rsidR="004C6952">
              <w:rPr>
                <w:rStyle w:val="PageNumber"/>
              </w:rPr>
              <w:t xml:space="preserve">8 to make harassment based on a protected attribute or attributes </w:t>
            </w:r>
            <w:r w:rsidR="00CA4BA2">
              <w:rPr>
                <w:rStyle w:val="PageNumber"/>
              </w:rPr>
              <w:t>a form of unlawful discrimination in its own right.</w:t>
            </w:r>
          </w:p>
        </w:tc>
      </w:tr>
    </w:tbl>
    <w:p w14:paraId="0C4B7F70" w14:textId="50A941AB" w:rsidR="000E0B7B" w:rsidRDefault="000E0B7B" w:rsidP="000E0B7B">
      <w:pPr>
        <w:pStyle w:val="Heading2"/>
      </w:pPr>
      <w:bookmarkStart w:id="16" w:name="_Toc94283553"/>
      <w:bookmarkStart w:id="17" w:name="_Ref94284306"/>
      <w:r>
        <w:t>Expand</w:t>
      </w:r>
      <w:r w:rsidR="00A8036A">
        <w:t>ing</w:t>
      </w:r>
      <w:r>
        <w:t xml:space="preserve"> the definition of ‘indirect discrimination’</w:t>
      </w:r>
      <w:bookmarkEnd w:id="16"/>
      <w:bookmarkEnd w:id="17"/>
    </w:p>
    <w:p w14:paraId="45EE6473" w14:textId="760CEA7D" w:rsidR="009138CE" w:rsidRDefault="009138CE" w:rsidP="009138CE">
      <w:r>
        <w:t xml:space="preserve">To further strengthen the definition of discrimination, the definition of ‘indirect discrimination’ in subsection 8(3) should be broadened to include the imposition of a ‘practice’ in addition to </w:t>
      </w:r>
      <w:r w:rsidR="00900A1B">
        <w:t xml:space="preserve">a </w:t>
      </w:r>
      <w:r>
        <w:t>‘condition or requirement’ that indirectly discriminate</w:t>
      </w:r>
      <w:r w:rsidR="00900A1B">
        <w:t>s</w:t>
      </w:r>
      <w:r w:rsidR="00AB31F2">
        <w:t xml:space="preserve">. </w:t>
      </w:r>
      <w:r>
        <w:t xml:space="preserve">This would be consistent with the </w:t>
      </w:r>
      <w:r w:rsidR="00900A1B">
        <w:t>definition of ‘indirect discrimination</w:t>
      </w:r>
      <w:r w:rsidR="00396789">
        <w:t>’</w:t>
      </w:r>
      <w:r w:rsidR="00900A1B">
        <w:t xml:space="preserve"> in the </w:t>
      </w:r>
      <w:r>
        <w:t xml:space="preserve">Commonwealth </w:t>
      </w:r>
      <w:r>
        <w:rPr>
          <w:i/>
          <w:iCs/>
        </w:rPr>
        <w:t>Sex Discrimination Act</w:t>
      </w:r>
      <w:r>
        <w:t xml:space="preserve">, which extends to the imposition of </w:t>
      </w:r>
      <w:r w:rsidR="00900A1B">
        <w:t xml:space="preserve">a </w:t>
      </w:r>
      <w:r>
        <w:t>‘condition</w:t>
      </w:r>
      <w:r w:rsidR="00D80715">
        <w:t>, requirement or practice</w:t>
      </w:r>
      <w:r>
        <w:t>’ that disadvantages a</w:t>
      </w:r>
      <w:r w:rsidR="00900A1B">
        <w:t xml:space="preserve"> particular attribute and is not reasonable</w:t>
      </w:r>
      <w:r w:rsidR="00A43768">
        <w:t xml:space="preserve"> in the circumstances</w:t>
      </w:r>
      <w:r>
        <w:t>.</w:t>
      </w:r>
      <w:r>
        <w:rPr>
          <w:rStyle w:val="FootnoteReference"/>
          <w:bCs/>
        </w:rPr>
        <w:footnoteReference w:id="18"/>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1E6353" w14:paraId="5556029B" w14:textId="77777777" w:rsidTr="0069133E">
        <w:tc>
          <w:tcPr>
            <w:tcW w:w="8871" w:type="dxa"/>
            <w:tcMar>
              <w:bottom w:w="142" w:type="dxa"/>
            </w:tcMar>
          </w:tcPr>
          <w:p w14:paraId="4453608D" w14:textId="4ECE68FF" w:rsidR="001E6353" w:rsidRDefault="001E6353" w:rsidP="0069133E">
            <w:pPr>
              <w:pStyle w:val="Heading3"/>
              <w:outlineLvl w:val="2"/>
            </w:pPr>
            <w:r>
              <w:t>recommendation 5</w:t>
            </w:r>
          </w:p>
          <w:p w14:paraId="4DABDD4F" w14:textId="40A95A1F" w:rsidR="001E6353" w:rsidRDefault="001E6353" w:rsidP="0069133E">
            <w:pPr>
              <w:rPr>
                <w:rStyle w:val="PageNumber"/>
              </w:rPr>
            </w:pPr>
            <w:r>
              <w:t>Amend</w:t>
            </w:r>
            <w:r>
              <w:rPr>
                <w:rStyle w:val="PageNumber"/>
              </w:rPr>
              <w:t xml:space="preserve"> subsection 8(3) to expand the definition of ‘indirect discrimination’ to </w:t>
            </w:r>
            <w:r w:rsidR="00345D20">
              <w:rPr>
                <w:rStyle w:val="PageNumber"/>
              </w:rPr>
              <w:t xml:space="preserve">include </w:t>
            </w:r>
            <w:r>
              <w:rPr>
                <w:rStyle w:val="PageNumber"/>
              </w:rPr>
              <w:t xml:space="preserve">a ‘condition, requirement </w:t>
            </w:r>
            <w:r w:rsidRPr="001E6353">
              <w:rPr>
                <w:rStyle w:val="PageNumber"/>
                <w:i/>
                <w:iCs/>
              </w:rPr>
              <w:t>or practice</w:t>
            </w:r>
            <w:r>
              <w:rPr>
                <w:rStyle w:val="PageNumber"/>
              </w:rPr>
              <w:t>’.</w:t>
            </w:r>
          </w:p>
        </w:tc>
      </w:tr>
    </w:tbl>
    <w:p w14:paraId="4BB4CB5F" w14:textId="46C5764C" w:rsidR="00A43768" w:rsidRDefault="00FE0DE1" w:rsidP="00CF6025">
      <w:pPr>
        <w:pStyle w:val="Heading2"/>
      </w:pPr>
      <w:bookmarkStart w:id="18" w:name="_Ref94280815"/>
      <w:bookmarkStart w:id="19" w:name="_Toc94283554"/>
      <w:r>
        <w:t>A single justification defence?</w:t>
      </w:r>
      <w:bookmarkEnd w:id="18"/>
      <w:bookmarkEnd w:id="19"/>
    </w:p>
    <w:p w14:paraId="66834B1F" w14:textId="2986A33A" w:rsidR="00F34D17" w:rsidRDefault="005E4DE7" w:rsidP="005E4DE7">
      <w:r>
        <w:t>We are not inclined to support replacing</w:t>
      </w:r>
      <w:r w:rsidR="00F32D0A">
        <w:t xml:space="preserve"> all</w:t>
      </w:r>
      <w:r>
        <w:t xml:space="preserve"> the exceptions in the Act with a single justification defence as contemplated by the Discussion Paper.</w:t>
      </w:r>
      <w:r>
        <w:rPr>
          <w:rStyle w:val="FootnoteReference"/>
          <w:bCs/>
        </w:rPr>
        <w:footnoteReference w:id="19"/>
      </w:r>
      <w:r>
        <w:t xml:space="preserve"> </w:t>
      </w:r>
      <w:r w:rsidR="00F32D0A">
        <w:t xml:space="preserve"> </w:t>
      </w:r>
      <w:r w:rsidR="0059419C">
        <w:t>There are two key reasons for this</w:t>
      </w:r>
      <w:r w:rsidR="00AB31F2">
        <w:t xml:space="preserve">. </w:t>
      </w:r>
      <w:r w:rsidR="0059419C">
        <w:t xml:space="preserve">The first is that </w:t>
      </w:r>
      <w:r w:rsidR="007776FD">
        <w:t xml:space="preserve">a single justification defence would result in </w:t>
      </w:r>
      <w:r w:rsidRPr="007F0448">
        <w:t>greater legal uncertainty and confusion</w:t>
      </w:r>
      <w:r w:rsidR="007776FD">
        <w:t xml:space="preserve"> as to when discrimination is and is not permitted</w:t>
      </w:r>
      <w:r w:rsidR="00AB31F2">
        <w:t xml:space="preserve">. </w:t>
      </w:r>
      <w:r w:rsidR="006A2926">
        <w:t>The second is that such a defence would introduce a defence in circumstances where one does not currently apply</w:t>
      </w:r>
      <w:r w:rsidR="00AB31F2">
        <w:t xml:space="preserve">. </w:t>
      </w:r>
      <w:r w:rsidR="006A2926">
        <w:t xml:space="preserve">So, for example, direct discrimination based on </w:t>
      </w:r>
      <w:r w:rsidR="0064226B">
        <w:t>sexuality, gender identity or sex characteristics</w:t>
      </w:r>
      <w:r w:rsidR="007C7D96">
        <w:t xml:space="preserve"> could become justified </w:t>
      </w:r>
      <w:r w:rsidR="00FD2F22">
        <w:t>in a wider range of contexts</w:t>
      </w:r>
      <w:r w:rsidR="00AB31F2">
        <w:t xml:space="preserve">. </w:t>
      </w:r>
    </w:p>
    <w:p w14:paraId="147B2900" w14:textId="425DDB63" w:rsidR="005E4DE7" w:rsidRDefault="00F34D17" w:rsidP="005E4DE7">
      <w:pPr>
        <w:rPr>
          <w:b/>
        </w:rPr>
      </w:pPr>
      <w:r>
        <w:t>In our view, b</w:t>
      </w:r>
      <w:r w:rsidR="00D02535">
        <w:t xml:space="preserve">road-based defences have tended to work against LGBTIQ+ people, given judges </w:t>
      </w:r>
      <w:r w:rsidR="00630A9E">
        <w:t>will accept as justified standards that are clearly discriminatory</w:t>
      </w:r>
      <w:r w:rsidR="00AB31F2">
        <w:t xml:space="preserve">. </w:t>
      </w:r>
      <w:r w:rsidR="00630A9E">
        <w:t>For example, in a recent US Supreme Court decision, a</w:t>
      </w:r>
      <w:r w:rsidR="00914280">
        <w:t xml:space="preserve"> similarly</w:t>
      </w:r>
      <w:r w:rsidR="00D440AE">
        <w:t xml:space="preserve"> broad </w:t>
      </w:r>
      <w:r w:rsidR="005B7B72">
        <w:t>justification defence</w:t>
      </w:r>
      <w:r w:rsidR="00630A9E">
        <w:t xml:space="preserve"> was </w:t>
      </w:r>
      <w:r w:rsidR="005B7B72">
        <w:t xml:space="preserve">invoked </w:t>
      </w:r>
      <w:r w:rsidR="00630A9E">
        <w:t xml:space="preserve">by a </w:t>
      </w:r>
      <w:r w:rsidR="00AA68A3">
        <w:t>faith-based</w:t>
      </w:r>
      <w:r w:rsidR="005B7B72">
        <w:t xml:space="preserve"> </w:t>
      </w:r>
      <w:r w:rsidR="007329AE">
        <w:t>adoption service</w:t>
      </w:r>
      <w:r w:rsidR="00AA68A3">
        <w:t xml:space="preserve"> provider</w:t>
      </w:r>
      <w:r w:rsidR="00914280">
        <w:t xml:space="preserve"> that</w:t>
      </w:r>
      <w:r w:rsidR="007329AE">
        <w:t xml:space="preserve"> exclude</w:t>
      </w:r>
      <w:r>
        <w:t>d</w:t>
      </w:r>
      <w:r w:rsidR="007329AE">
        <w:t xml:space="preserve"> same-sex couples</w:t>
      </w:r>
      <w:r w:rsidR="00914280">
        <w:t xml:space="preserve"> from its program</w:t>
      </w:r>
      <w:r w:rsidR="007329AE">
        <w:t xml:space="preserve">, </w:t>
      </w:r>
      <w:r w:rsidR="00914280">
        <w:t xml:space="preserve">to </w:t>
      </w:r>
      <w:r w:rsidR="00AA68A3">
        <w:t xml:space="preserve">demand </w:t>
      </w:r>
      <w:r w:rsidR="00D442F9">
        <w:t xml:space="preserve">successfully </w:t>
      </w:r>
      <w:r w:rsidR="00AA68A3">
        <w:t>that the state maintain its public funding of those discriminatory programs.</w:t>
      </w:r>
      <w:r w:rsidR="00AA68A3">
        <w:rPr>
          <w:rStyle w:val="FootnoteReference"/>
        </w:rPr>
        <w:footnoteReference w:id="20"/>
      </w:r>
    </w:p>
    <w:p w14:paraId="3B56E684" w14:textId="59E509E8" w:rsidR="00A60B24" w:rsidRDefault="005E4DE7" w:rsidP="002C19A4">
      <w:r>
        <w:t>However, a single justification defence could be included as</w:t>
      </w:r>
      <w:r w:rsidR="002C19A4">
        <w:t xml:space="preserve"> part of</w:t>
      </w:r>
      <w:r>
        <w:t xml:space="preserve"> an additional test or limb </w:t>
      </w:r>
      <w:r w:rsidR="002C19A4">
        <w:t>within the definition of discrimination</w:t>
      </w:r>
      <w:r w:rsidR="00AB31F2">
        <w:t xml:space="preserve">. </w:t>
      </w:r>
      <w:r w:rsidR="00A60B24">
        <w:t xml:space="preserve">That is, the definition of discrimination </w:t>
      </w:r>
      <w:r w:rsidR="00D91694">
        <w:t xml:space="preserve">in section 8 </w:t>
      </w:r>
      <w:r w:rsidR="00A60B24">
        <w:t xml:space="preserve">could be amended to </w:t>
      </w:r>
      <w:r w:rsidR="00D91694">
        <w:t>include all of the following</w:t>
      </w:r>
      <w:r w:rsidR="00A60B24">
        <w:t xml:space="preserve">: </w:t>
      </w:r>
    </w:p>
    <w:p w14:paraId="2528651D" w14:textId="35369B16" w:rsidR="00A60B24" w:rsidRDefault="00A60B24" w:rsidP="00A60B24">
      <w:pPr>
        <w:pStyle w:val="Bullet"/>
      </w:pPr>
      <w:r>
        <w:t>direct discrimination</w:t>
      </w:r>
      <w:r w:rsidR="00D91694">
        <w:t xml:space="preserve"> (as currently defined)</w:t>
      </w:r>
      <w:r w:rsidR="00F34D17">
        <w:t>;</w:t>
      </w:r>
    </w:p>
    <w:p w14:paraId="5351A21F" w14:textId="413CC403" w:rsidR="00A60B24" w:rsidRDefault="00A60B24" w:rsidP="00A60B24">
      <w:pPr>
        <w:pStyle w:val="Bullet"/>
      </w:pPr>
      <w:r>
        <w:t>indirect discrimination</w:t>
      </w:r>
      <w:r w:rsidR="00D91694">
        <w:t xml:space="preserve"> (as amended above</w:t>
      </w:r>
      <w:r w:rsidR="00396789">
        <w:t>)</w:t>
      </w:r>
      <w:r w:rsidR="00F34D17">
        <w:t>;</w:t>
      </w:r>
    </w:p>
    <w:p w14:paraId="13B1EF1A" w14:textId="6507C33E" w:rsidR="00A60B24" w:rsidRDefault="00A60B24" w:rsidP="00A60B24">
      <w:pPr>
        <w:pStyle w:val="Bullet"/>
      </w:pPr>
      <w:r>
        <w:t xml:space="preserve">harassment </w:t>
      </w:r>
      <w:r w:rsidR="00D91694">
        <w:t xml:space="preserve">based on a protected attribute or combination of attributes </w:t>
      </w:r>
      <w:r>
        <w:t>(as recommended above)</w:t>
      </w:r>
      <w:r w:rsidR="00F34D17">
        <w:t>;</w:t>
      </w:r>
      <w:r>
        <w:t xml:space="preserve"> or </w:t>
      </w:r>
    </w:p>
    <w:p w14:paraId="18CF76E9" w14:textId="75DA0E17" w:rsidR="00A60B24" w:rsidRDefault="00F96D05" w:rsidP="00A60B24">
      <w:pPr>
        <w:pStyle w:val="Bullet"/>
      </w:pPr>
      <w:r>
        <w:t>a</w:t>
      </w:r>
      <w:r w:rsidR="00A60B24">
        <w:t xml:space="preserve"> distinction, exclusion, restriction or preference </w:t>
      </w:r>
      <w:r>
        <w:t xml:space="preserve">which has the purpose or effect of </w:t>
      </w:r>
      <w:r w:rsidR="007638D6">
        <w:t>impairing the equal enjoyment of a</w:t>
      </w:r>
      <w:r w:rsidR="001F476F">
        <w:t>ny</w:t>
      </w:r>
      <w:r w:rsidR="007638D6">
        <w:t xml:space="preserve"> human right</w:t>
      </w:r>
      <w:r w:rsidR="00F34D17">
        <w:t>,</w:t>
      </w:r>
      <w:r w:rsidR="007638D6">
        <w:t xml:space="preserve"> </w:t>
      </w:r>
      <w:r w:rsidR="007638D6" w:rsidRPr="00F34D17">
        <w:rPr>
          <w:i/>
          <w:iCs/>
        </w:rPr>
        <w:t>and which is not justified</w:t>
      </w:r>
      <w:r w:rsidR="007638D6">
        <w:t>.</w:t>
      </w:r>
    </w:p>
    <w:p w14:paraId="53E0AAD5" w14:textId="4B897882" w:rsidR="005E4DE7" w:rsidRDefault="001F476F" w:rsidP="00716288">
      <w:r>
        <w:t xml:space="preserve">The last </w:t>
      </w:r>
      <w:r w:rsidR="00716288">
        <w:t xml:space="preserve">limb of the definition closely follows the </w:t>
      </w:r>
      <w:r w:rsidR="005E4DE7">
        <w:t xml:space="preserve">international definition of </w:t>
      </w:r>
      <w:r w:rsidR="005E4DE7" w:rsidRPr="007F0448">
        <w:t>discrimination set out in General Comment No. 18,</w:t>
      </w:r>
      <w:r w:rsidR="005E4DE7" w:rsidRPr="007F0448">
        <w:rPr>
          <w:rStyle w:val="FootnoteReference"/>
          <w:bCs/>
        </w:rPr>
        <w:footnoteReference w:id="21"/>
      </w:r>
      <w:r w:rsidR="005E4DE7" w:rsidRPr="007F0448">
        <w:t xml:space="preserve"> as </w:t>
      </w:r>
      <w:r w:rsidR="00716288">
        <w:t xml:space="preserve">used </w:t>
      </w:r>
      <w:r w:rsidR="005E4DE7" w:rsidRPr="007F0448">
        <w:t xml:space="preserve">in the </w:t>
      </w:r>
      <w:r w:rsidR="005E4DE7" w:rsidRPr="007F0448">
        <w:rPr>
          <w:i/>
          <w:iCs/>
        </w:rPr>
        <w:t>Racial Discrimination Act 1975</w:t>
      </w:r>
      <w:r w:rsidR="005E4DE7">
        <w:rPr>
          <w:i/>
          <w:iCs/>
        </w:rPr>
        <w:t>,</w:t>
      </w:r>
      <w:r w:rsidR="005E4DE7" w:rsidRPr="004D17BB">
        <w:rPr>
          <w:rStyle w:val="FootnoteReference"/>
          <w:bCs/>
        </w:rPr>
        <w:footnoteReference w:id="22"/>
      </w:r>
      <w:r w:rsidR="005E4DE7">
        <w:rPr>
          <w:i/>
          <w:iCs/>
        </w:rPr>
        <w:t xml:space="preserve"> </w:t>
      </w:r>
      <w:r w:rsidR="00716288">
        <w:t xml:space="preserve">and combines it with in-built </w:t>
      </w:r>
      <w:r w:rsidR="005E4DE7">
        <w:t xml:space="preserve">justification defence. </w:t>
      </w:r>
    </w:p>
    <w:p w14:paraId="3039F8F5" w14:textId="7E269D56" w:rsidR="00716288" w:rsidRDefault="00182CE2" w:rsidP="00716288">
      <w:pPr>
        <w:rPr>
          <w:b/>
        </w:rPr>
      </w:pPr>
      <w:r>
        <w:t xml:space="preserve">Once a body of </w:t>
      </w:r>
      <w:r w:rsidR="001E6353">
        <w:t xml:space="preserve">case </w:t>
      </w:r>
      <w:r>
        <w:t xml:space="preserve">law </w:t>
      </w:r>
      <w:r w:rsidR="001E6353">
        <w:t xml:space="preserve">has developed </w:t>
      </w:r>
      <w:r>
        <w:t>interpret</w:t>
      </w:r>
      <w:r w:rsidR="001E6353">
        <w:t>ing</w:t>
      </w:r>
      <w:r>
        <w:t xml:space="preserve"> and appl</w:t>
      </w:r>
      <w:r w:rsidR="001E6353">
        <w:t>ying</w:t>
      </w:r>
      <w:r>
        <w:t xml:space="preserve"> the last limb of this definition, the Act could be reviewed </w:t>
      </w:r>
      <w:r w:rsidR="001E6353">
        <w:t xml:space="preserve">to consider </w:t>
      </w:r>
      <w:r>
        <w:t xml:space="preserve">whether </w:t>
      </w:r>
      <w:r w:rsidR="001E6353">
        <w:t>a</w:t>
      </w:r>
      <w:r>
        <w:t xml:space="preserve"> single justification </w:t>
      </w:r>
      <w:r w:rsidR="009F614F">
        <w:t>defence</w:t>
      </w:r>
      <w:r>
        <w:t xml:space="preserve"> </w:t>
      </w:r>
      <w:r w:rsidR="009F614F">
        <w:t>would provide a simpler approach to defences under the Act</w:t>
      </w:r>
      <w:r w:rsidR="001E6353">
        <w:t xml:space="preserve"> in the future.</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345D20" w14:paraId="45CE7EAF" w14:textId="77777777" w:rsidTr="0069133E">
        <w:tc>
          <w:tcPr>
            <w:tcW w:w="8871" w:type="dxa"/>
            <w:tcMar>
              <w:bottom w:w="142" w:type="dxa"/>
            </w:tcMar>
          </w:tcPr>
          <w:p w14:paraId="50141ED7" w14:textId="067691A5" w:rsidR="00345D20" w:rsidRDefault="00345D20" w:rsidP="0069133E">
            <w:pPr>
              <w:pStyle w:val="Heading3"/>
              <w:outlineLvl w:val="2"/>
            </w:pPr>
            <w:r>
              <w:t>recommendation 6</w:t>
            </w:r>
          </w:p>
          <w:p w14:paraId="2EEFEFC7" w14:textId="70E06735" w:rsidR="00345D20" w:rsidRDefault="0032539C" w:rsidP="0069133E">
            <w:pPr>
              <w:rPr>
                <w:rStyle w:val="PageNumber"/>
              </w:rPr>
            </w:pPr>
            <w:r>
              <w:t>Consider amending section 8 to introduce a</w:t>
            </w:r>
            <w:r w:rsidR="00AE5243">
              <w:t xml:space="preserve">n additional </w:t>
            </w:r>
            <w:r w:rsidR="00246D23">
              <w:t>definition</w:t>
            </w:r>
            <w:r>
              <w:t xml:space="preserve"> </w:t>
            </w:r>
            <w:r w:rsidR="00246D23">
              <w:t>of</w:t>
            </w:r>
            <w:r>
              <w:t xml:space="preserve"> discrimination</w:t>
            </w:r>
            <w:r w:rsidR="005E7E74">
              <w:t>, modelled on the international human rights law definition of discrimination,</w:t>
            </w:r>
            <w:r>
              <w:t xml:space="preserve"> that includes a single justification defence</w:t>
            </w:r>
            <w:r w:rsidR="00AB31F2">
              <w:t xml:space="preserve">. </w:t>
            </w:r>
            <w:r w:rsidR="00246D23">
              <w:t xml:space="preserve">This definition should not replace existing </w:t>
            </w:r>
            <w:r w:rsidR="000E3FAB">
              <w:t xml:space="preserve">definitions or exceptions under the Act until </w:t>
            </w:r>
            <w:r w:rsidR="005E7E74">
              <w:t>the</w:t>
            </w:r>
            <w:r w:rsidR="000E3FAB">
              <w:t xml:space="preserve"> interpretation and application</w:t>
            </w:r>
            <w:r w:rsidR="005E7E74">
              <w:t xml:space="preserve"> of this provision</w:t>
            </w:r>
            <w:r w:rsidR="000E3FAB">
              <w:t xml:space="preserve"> become</w:t>
            </w:r>
            <w:r w:rsidR="00AE5243">
              <w:t>s</w:t>
            </w:r>
            <w:r w:rsidR="000E3FAB">
              <w:t xml:space="preserve"> clear.</w:t>
            </w:r>
          </w:p>
        </w:tc>
      </w:tr>
    </w:tbl>
    <w:p w14:paraId="33C2575A" w14:textId="2F97C3F6" w:rsidR="000E0B7B" w:rsidRDefault="00F464FF" w:rsidP="00F464FF">
      <w:pPr>
        <w:pStyle w:val="Heading1"/>
      </w:pPr>
      <w:bookmarkStart w:id="20" w:name="_Ref94283067"/>
      <w:bookmarkStart w:id="21" w:name="_Ref94283257"/>
      <w:bookmarkStart w:id="22" w:name="_Toc94283555"/>
      <w:r>
        <w:t>Positive duties</w:t>
      </w:r>
      <w:bookmarkEnd w:id="20"/>
      <w:bookmarkEnd w:id="21"/>
      <w:bookmarkEnd w:id="22"/>
    </w:p>
    <w:p w14:paraId="6F99A01E" w14:textId="075EDD9B" w:rsidR="006331AA" w:rsidRPr="003628D0" w:rsidRDefault="006331AA" w:rsidP="006331AA">
      <w:pPr>
        <w:pStyle w:val="Intro"/>
      </w:pPr>
      <w:r w:rsidRPr="003628D0">
        <w:t xml:space="preserve">Addressing </w:t>
      </w:r>
      <w:r w:rsidRPr="006331AA">
        <w:t>discrimination</w:t>
      </w:r>
      <w:r w:rsidRPr="003628D0">
        <w:t xml:space="preserve"> must be the responsibility of everyone – not just the people who experience discrimination directly</w:t>
      </w:r>
      <w:r w:rsidR="00AB31F2">
        <w:t xml:space="preserve">. </w:t>
      </w:r>
      <w:r w:rsidRPr="003628D0">
        <w:t>This is because discrimination costs society as a whole</w:t>
      </w:r>
      <w:r w:rsidR="00AB31F2">
        <w:t xml:space="preserve">. </w:t>
      </w:r>
      <w:r w:rsidRPr="003628D0">
        <w:t>By diminishing the opportunities available to each person to succeed and thrive in employment, education and in life, we all lose the benefit of seeing everyone’s personal, social and economic potential realised to its full extent.</w:t>
      </w:r>
    </w:p>
    <w:p w14:paraId="73A09069" w14:textId="7FE2A785" w:rsidR="006331AA" w:rsidRDefault="006331AA" w:rsidP="006331AA">
      <w:r>
        <w:t>While only Victoria currently imposes a positive duty on eliminating discrimination, sexual harassment and victimisation,</w:t>
      </w:r>
      <w:r>
        <w:rPr>
          <w:rStyle w:val="FootnoteReference"/>
        </w:rPr>
        <w:footnoteReference w:id="23"/>
      </w:r>
      <w:r>
        <w:t xml:space="preserve"> the notion of a positive duty is not new</w:t>
      </w:r>
      <w:r w:rsidR="00AB31F2">
        <w:t xml:space="preserve">. </w:t>
      </w:r>
      <w:r>
        <w:t xml:space="preserve">For example, as noted in the Discussion Paper, the </w:t>
      </w:r>
      <w:r w:rsidRPr="00801F02">
        <w:rPr>
          <w:i/>
          <w:iCs/>
        </w:rPr>
        <w:t>Human Rights Act</w:t>
      </w:r>
      <w:r>
        <w:t xml:space="preserve"> imposes a positive duty on public authorities to act in a way that is compatible with human rights and to consider relevant human rights in making decisions.</w:t>
      </w:r>
      <w:r>
        <w:rPr>
          <w:rStyle w:val="FootnoteReference"/>
        </w:rPr>
        <w:footnoteReference w:id="24"/>
      </w:r>
      <w:r>
        <w:t xml:space="preserve">  The absence of a positive duty in the Act – particularly on employers – means the approach taken to discrimination is quite different to that taken to many other areas of regulated business and activity, including in relation to:</w:t>
      </w:r>
    </w:p>
    <w:p w14:paraId="71D1138A" w14:textId="77777777" w:rsidR="006331AA" w:rsidRDefault="006331AA" w:rsidP="001731D3">
      <w:pPr>
        <w:pStyle w:val="Bullet"/>
      </w:pPr>
      <w:r>
        <w:t xml:space="preserve">occupational health and safety, </w:t>
      </w:r>
      <w:r w:rsidRPr="001731D3">
        <w:t>where</w:t>
      </w:r>
      <w:r>
        <w:t xml:space="preserve"> positive duties are imposed on employers, employees and others;</w:t>
      </w:r>
      <w:r>
        <w:rPr>
          <w:rStyle w:val="FootnoteReference"/>
        </w:rPr>
        <w:footnoteReference w:id="25"/>
      </w:r>
    </w:p>
    <w:p w14:paraId="7CE777A9" w14:textId="77777777" w:rsidR="006331AA" w:rsidRDefault="006331AA" w:rsidP="001731D3">
      <w:pPr>
        <w:pStyle w:val="Bullet"/>
      </w:pPr>
      <w:r>
        <w:t xml:space="preserve">workplace </w:t>
      </w:r>
      <w:r w:rsidRPr="001731D3">
        <w:t>gender</w:t>
      </w:r>
      <w:r>
        <w:t xml:space="preserve"> equality, where positive duties are imposed on certain employers to make reports including about remuneration;</w:t>
      </w:r>
      <w:r>
        <w:rPr>
          <w:rStyle w:val="FootnoteReference"/>
        </w:rPr>
        <w:footnoteReference w:id="26"/>
      </w:r>
    </w:p>
    <w:p w14:paraId="56E68933" w14:textId="77777777" w:rsidR="006331AA" w:rsidRDefault="006331AA" w:rsidP="001731D3">
      <w:pPr>
        <w:pStyle w:val="Bullet"/>
      </w:pPr>
      <w:r>
        <w:t xml:space="preserve">negligence, </w:t>
      </w:r>
      <w:r w:rsidRPr="001731D3">
        <w:t>where</w:t>
      </w:r>
      <w:r>
        <w:t xml:space="preserve"> duty holders have a duty of care to take all reasonable steps to comply with their duties;</w:t>
      </w:r>
    </w:p>
    <w:p w14:paraId="652A5EA3" w14:textId="77777777" w:rsidR="006331AA" w:rsidRDefault="006331AA" w:rsidP="001731D3">
      <w:pPr>
        <w:pStyle w:val="Bullet"/>
      </w:pPr>
      <w:r>
        <w:t>modern slavery, where reporting entities have positive duties to describe the due diligence and remediation processes adopted to identify and address the risks of modern slavery practices;</w:t>
      </w:r>
      <w:r>
        <w:rPr>
          <w:rStyle w:val="FootnoteReference"/>
        </w:rPr>
        <w:footnoteReference w:id="27"/>
      </w:r>
    </w:p>
    <w:p w14:paraId="257D8FBF" w14:textId="77777777" w:rsidR="006331AA" w:rsidRDefault="006331AA" w:rsidP="001731D3">
      <w:pPr>
        <w:pStyle w:val="Bullet"/>
      </w:pPr>
      <w:r>
        <w:t>financial service obligations, where reporting entities have positive duties to monitor and report customer transactions, including suspicious matters;</w:t>
      </w:r>
      <w:r>
        <w:rPr>
          <w:rStyle w:val="FootnoteReference"/>
        </w:rPr>
        <w:footnoteReference w:id="28"/>
      </w:r>
    </w:p>
    <w:p w14:paraId="5D0067E1" w14:textId="33EEAF3B" w:rsidR="006331AA" w:rsidRDefault="006331AA" w:rsidP="001731D3">
      <w:pPr>
        <w:pStyle w:val="Bullet"/>
      </w:pPr>
      <w:r>
        <w:t xml:space="preserve">child protection, where health professionals, teachers, police and other </w:t>
      </w:r>
      <w:r w:rsidR="00484FD2">
        <w:t>‘</w:t>
      </w:r>
      <w:r>
        <w:t>mandated reporters</w:t>
      </w:r>
      <w:r w:rsidR="00484FD2">
        <w:t>’</w:t>
      </w:r>
      <w:r>
        <w:t xml:space="preserve"> have positive duties to make mandatory reports where there is a risk of abuse.</w:t>
      </w:r>
      <w:r>
        <w:rPr>
          <w:rStyle w:val="FootnoteReference"/>
        </w:rPr>
        <w:footnoteReference w:id="29"/>
      </w:r>
    </w:p>
    <w:p w14:paraId="739E063D" w14:textId="767321F8" w:rsidR="006331AA" w:rsidRDefault="006331AA" w:rsidP="001731D3">
      <w:r>
        <w:t>Positive duties are an essential part of a regulatory regime</w:t>
      </w:r>
      <w:r w:rsidR="00AB31F2">
        <w:t xml:space="preserve">. </w:t>
      </w:r>
      <w:r>
        <w:t>They need to be sufficiently broad so that they can adjust to different circumstances and keep up with evolving standards</w:t>
      </w:r>
      <w:r w:rsidR="00AB31F2">
        <w:t xml:space="preserve">. </w:t>
      </w:r>
      <w:r>
        <w:t>But positive duties also need a degree of specificity, so that duty holders are guided as to the steps and due diligence they need to undertake to meet their obligations</w:t>
      </w:r>
      <w:r w:rsidR="00AB31F2">
        <w:t xml:space="preserve">. </w:t>
      </w:r>
      <w:r>
        <w:t>Examples of these kinds of duties in other areas of law include requirements on persons: not to engage in misleading and deceptive conduct; to undertake due diligence and implement training on money laundering risk; to take reasonable steps to identify and respond to foreseeable risks of harm to worker safety</w:t>
      </w:r>
      <w:r w:rsidR="00AB31F2">
        <w:t xml:space="preserve">. </w:t>
      </w:r>
      <w:r>
        <w:t>These are all examples of broad legal standards that could provide inspiration to the elements which should be incorporated into a positive duty to eliminate discrimination.</w:t>
      </w:r>
    </w:p>
    <w:p w14:paraId="10625AC2" w14:textId="77777777" w:rsidR="006331AA" w:rsidRDefault="006331AA" w:rsidP="00484FD2">
      <w:r>
        <w:t xml:space="preserve">To be effective, positive duties need to have regulatory infrastructure and responses appropriate to the degree of any contravention so that:  </w:t>
      </w:r>
    </w:p>
    <w:p w14:paraId="28407D0D" w14:textId="77777777" w:rsidR="006331AA" w:rsidRDefault="006331AA" w:rsidP="00484FD2">
      <w:pPr>
        <w:pStyle w:val="Bullet"/>
      </w:pPr>
      <w:r>
        <w:t xml:space="preserve">at the lower end of the scale, a positive </w:t>
      </w:r>
      <w:r w:rsidRPr="00484FD2">
        <w:t>duty</w:t>
      </w:r>
      <w:r>
        <w:t xml:space="preserve"> supports educative responses that promote compliance and improves standards across an industry; and</w:t>
      </w:r>
    </w:p>
    <w:p w14:paraId="4D0A1485" w14:textId="0ED08F08" w:rsidR="006331AA" w:rsidRDefault="006331AA" w:rsidP="00484FD2">
      <w:pPr>
        <w:pStyle w:val="Bullet"/>
      </w:pPr>
      <w:r>
        <w:t xml:space="preserve">at the more acute end of the scale, a positive duty should enable a regulatory agency to prosecute systemic </w:t>
      </w:r>
      <w:r w:rsidR="0014424D">
        <w:t>or</w:t>
      </w:r>
      <w:r>
        <w:t xml:space="preserve"> serious discrimination against a class of persons</w:t>
      </w:r>
      <w:r w:rsidR="00AB31F2">
        <w:t xml:space="preserve">. </w:t>
      </w:r>
    </w:p>
    <w:p w14:paraId="16C20005" w14:textId="5059EC32" w:rsidR="006331AA" w:rsidRDefault="006331AA" w:rsidP="00484FD2">
      <w:r>
        <w:t>The purpose of a positive duty is to prevent discrimination before it happens and relieve any burden on affected individuals from being required to bring personal complaints when it does</w:t>
      </w:r>
      <w:r w:rsidR="00AB31F2">
        <w:t xml:space="preserve">. </w:t>
      </w:r>
      <w:r>
        <w:t>A positive duty should place the burden on a regulatory agency to investigate a potential breach, and take appropriate steps where a contravention has occurred</w:t>
      </w:r>
      <w:r w:rsidR="00AB31F2">
        <w:t xml:space="preserve">. </w:t>
      </w:r>
      <w:r>
        <w:t>The regulatory agency needs a toolbox of regulatory ‘carrots and sticks’; the ability to seek penalties or injunctions from a court for serious breaches and the ability to accept enforceable undertakings for organisations that are willing to improve their compliance</w:t>
      </w:r>
      <w:r w:rsidR="00AB31F2">
        <w:t xml:space="preserve">. </w:t>
      </w:r>
      <w:r>
        <w:t>Under this approach, individuals who have experienced discrimination become whistleblowers and witnesses to misconduct, rather than plaintiffs</w:t>
      </w:r>
      <w:r w:rsidR="00AB31F2">
        <w:t xml:space="preserve">. </w:t>
      </w:r>
      <w:r>
        <w:t>However, there can also be provisions allowing affected individuals to obtain compensation for loss they have suffered,</w:t>
      </w:r>
      <w:r>
        <w:rPr>
          <w:rStyle w:val="FootnoteReference"/>
        </w:rPr>
        <w:footnoteReference w:id="30"/>
      </w:r>
      <w:r>
        <w:t xml:space="preserve"> concurrently with regulatory action.</w:t>
      </w:r>
    </w:p>
    <w:p w14:paraId="2B878128" w14:textId="07737837" w:rsidR="006331AA" w:rsidRDefault="006331AA" w:rsidP="006331AA">
      <w:r>
        <w:t>An effective positive duty needs to be clearly expressed, and be supported by reporting requirements, enforcement powers and functions (with appropriate resourcing), and a mechanism for protecting witnesses and whistleblowers who report discrimination against victimisation</w:t>
      </w:r>
      <w:r w:rsidR="00AB31F2">
        <w:t xml:space="preserve">. </w:t>
      </w:r>
      <w:r>
        <w:t>Guidance on best practice should also be developed to support organisations to meet their positive duties.</w:t>
      </w:r>
    </w:p>
    <w:p w14:paraId="287C8E35" w14:textId="30172FCA" w:rsidR="0013719B" w:rsidRDefault="0013719B" w:rsidP="006331AA">
      <w:r>
        <w:t xml:space="preserve">The ACT could also draw from the UK experience in considering a positive duty not only to eliminate discrimination but </w:t>
      </w:r>
      <w:r w:rsidR="00932039">
        <w:t xml:space="preserve">to </w:t>
      </w:r>
      <w:r>
        <w:t>promote equality.</w:t>
      </w:r>
      <w:r w:rsidR="004D2341">
        <w:rPr>
          <w:rStyle w:val="FootnoteReference"/>
        </w:rPr>
        <w:footnoteReference w:id="31"/>
      </w:r>
      <w:r>
        <w:t xml:space="preserve">  </w:t>
      </w:r>
      <w:r w:rsidR="00932039">
        <w:t xml:space="preserve">The latter </w:t>
      </w:r>
      <w:r w:rsidR="00F16E57">
        <w:t>looks at outcomes, seeking to promote equality of opportunity as a matter of ordinary business practice</w:t>
      </w:r>
      <w:r w:rsidR="00AB31F2">
        <w:t xml:space="preserve">. </w:t>
      </w:r>
      <w:r w:rsidR="000B0ABC">
        <w:t xml:space="preserve">In the UK, the duty </w:t>
      </w:r>
      <w:r w:rsidR="00825D2D">
        <w:t xml:space="preserve">applies to the public sector and </w:t>
      </w:r>
      <w:r w:rsidR="00956601">
        <w:t>explains that having due regard for advancing equality involves:</w:t>
      </w:r>
    </w:p>
    <w:p w14:paraId="2F8A6DF6" w14:textId="766D8B45" w:rsidR="00956601" w:rsidRDefault="00833E95" w:rsidP="00956601">
      <w:pPr>
        <w:pStyle w:val="Bullet"/>
      </w:pPr>
      <w:r>
        <w:t>r</w:t>
      </w:r>
      <w:r w:rsidR="00956601">
        <w:t>emoving or minimising disadvantages suffered by people due to their protected characteristics;</w:t>
      </w:r>
    </w:p>
    <w:p w14:paraId="6CA938E7" w14:textId="77997C10" w:rsidR="00956601" w:rsidRDefault="00833E95" w:rsidP="00956601">
      <w:pPr>
        <w:pStyle w:val="Bullet"/>
      </w:pPr>
      <w:r>
        <w:t>t</w:t>
      </w:r>
      <w:r w:rsidR="00956601">
        <w:t>aking steps to meet the needs of people from protected groups where these are different from the needs of other people;</w:t>
      </w:r>
      <w:r>
        <w:t xml:space="preserve"> and</w:t>
      </w:r>
    </w:p>
    <w:p w14:paraId="1C66DE23" w14:textId="508D39DD" w:rsidR="000F648B" w:rsidRDefault="00833E95" w:rsidP="005F2FC0">
      <w:pPr>
        <w:pStyle w:val="Bullet"/>
      </w:pPr>
      <w:r>
        <w:t>e</w:t>
      </w:r>
      <w:r w:rsidR="00956601">
        <w:t>ncouraging people from protected groups to participate in public life or in other activities where their participation is disproportionately low.</w:t>
      </w:r>
      <w:r w:rsidR="004D2341">
        <w:rPr>
          <w:rStyle w:val="FootnoteReference"/>
        </w:rPr>
        <w:footnoteReference w:id="32"/>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0F648B" w14:paraId="4E2739F6" w14:textId="77777777" w:rsidTr="0069133E">
        <w:tc>
          <w:tcPr>
            <w:tcW w:w="8871" w:type="dxa"/>
            <w:tcMar>
              <w:bottom w:w="142" w:type="dxa"/>
            </w:tcMar>
          </w:tcPr>
          <w:p w14:paraId="31649EB6" w14:textId="76DF9CC0" w:rsidR="000F648B" w:rsidRDefault="000F648B" w:rsidP="0069133E">
            <w:pPr>
              <w:pStyle w:val="Heading3"/>
              <w:outlineLvl w:val="2"/>
            </w:pPr>
            <w:r>
              <w:t>recommendation 6</w:t>
            </w:r>
          </w:p>
          <w:p w14:paraId="7C297638" w14:textId="4B12DD98" w:rsidR="000F648B" w:rsidRPr="0029619E" w:rsidRDefault="000F648B" w:rsidP="0069133E">
            <w:r>
              <w:t xml:space="preserve">Introduce a positive duty to take reasonable and proportionate steps to </w:t>
            </w:r>
            <w:r w:rsidR="00956601">
              <w:t xml:space="preserve">promote equality (including </w:t>
            </w:r>
            <w:r>
              <w:t>eliminat</w:t>
            </w:r>
            <w:r w:rsidR="00956601">
              <w:t>ing</w:t>
            </w:r>
            <w:r>
              <w:t xml:space="preserve"> discrimination</w:t>
            </w:r>
            <w:r w:rsidR="00956601">
              <w:t>,</w:t>
            </w:r>
            <w:r>
              <w:t xml:space="preserve"> harassment, vilification and victimisation) on persons who hold obligations under the Act. </w:t>
            </w:r>
          </w:p>
          <w:p w14:paraId="5DA934D5" w14:textId="77777777" w:rsidR="000F648B" w:rsidRDefault="000F648B" w:rsidP="0069133E">
            <w:r>
              <w:t>In order to meet the positive duty, and consistent with the size and resources of the organisation, duty holders could be required to:</w:t>
            </w:r>
          </w:p>
          <w:p w14:paraId="3F5CBE33" w14:textId="77777777" w:rsidR="000F648B" w:rsidRDefault="000F648B" w:rsidP="000F648B">
            <w:pPr>
              <w:pStyle w:val="Bullet"/>
              <w:ind w:left="1384" w:hanging="284"/>
            </w:pPr>
            <w:r>
              <w:t>conduct employee training on compliance with the Act;</w:t>
            </w:r>
          </w:p>
          <w:p w14:paraId="63F976CD" w14:textId="77777777" w:rsidR="000F648B" w:rsidRDefault="000F648B" w:rsidP="000F648B">
            <w:pPr>
              <w:pStyle w:val="Bullet"/>
              <w:ind w:left="1384" w:hanging="284"/>
            </w:pPr>
            <w:r>
              <w:t>demonstrate they have introduced policies and procedures for people to make complaints of discrimination to the duty holder, and how those complaints will be handled to protect the person’s confidentiality and prevent their victimisation;</w:t>
            </w:r>
          </w:p>
          <w:p w14:paraId="744F933A" w14:textId="77777777" w:rsidR="000F648B" w:rsidRDefault="000F648B" w:rsidP="000F648B">
            <w:pPr>
              <w:pStyle w:val="Bullet"/>
              <w:ind w:left="1384" w:hanging="284"/>
            </w:pPr>
            <w:r>
              <w:t xml:space="preserve">report to the agency on matters such as: </w:t>
            </w:r>
          </w:p>
          <w:p w14:paraId="2BD00278" w14:textId="77777777" w:rsidR="000F648B" w:rsidRDefault="000F648B" w:rsidP="0069133E">
            <w:pPr>
              <w:pStyle w:val="Bullet"/>
              <w:numPr>
                <w:ilvl w:val="2"/>
                <w:numId w:val="12"/>
              </w:numPr>
            </w:pPr>
            <w:r>
              <w:t>due diligence undertaken to identify, mitigate and address likely areas of discrimination, including harassment;</w:t>
            </w:r>
          </w:p>
          <w:p w14:paraId="65FB8CBC" w14:textId="1E42062C" w:rsidR="000F648B" w:rsidRDefault="000F648B" w:rsidP="0069133E">
            <w:pPr>
              <w:pStyle w:val="Bullet"/>
              <w:numPr>
                <w:ilvl w:val="2"/>
                <w:numId w:val="12"/>
              </w:numPr>
            </w:pPr>
            <w:r>
              <w:t>complaints outcomes and other metrics relevant to the Act, as prescribed by the agency</w:t>
            </w:r>
            <w:r w:rsidR="00AB31F2">
              <w:t xml:space="preserve">. </w:t>
            </w:r>
          </w:p>
          <w:p w14:paraId="29FB738E" w14:textId="701465B9" w:rsidR="000F648B" w:rsidRDefault="000F648B" w:rsidP="0069133E">
            <w:r>
              <w:rPr>
                <w:rStyle w:val="PageNumber"/>
              </w:rPr>
              <w:t xml:space="preserve">The regulatory agency must have appropriate </w:t>
            </w:r>
            <w:r>
              <w:t>enforcement powers and functions (with adequate resourcing) similar to other types of misconduct</w:t>
            </w:r>
            <w:r w:rsidR="00AB31F2">
              <w:t xml:space="preserve">. </w:t>
            </w:r>
            <w:r>
              <w:t>The enforcement scheme requires mechanisms for protecting witnesses and whistleblowers who report discrimination</w:t>
            </w:r>
            <w:r w:rsidR="00AB31F2">
              <w:t xml:space="preserve">. </w:t>
            </w:r>
            <w:r>
              <w:t xml:space="preserve">In addition to penalties for contraventions of the duty, the scheme </w:t>
            </w:r>
            <w:r w:rsidR="009979B4">
              <w:t>should</w:t>
            </w:r>
            <w:r>
              <w:t xml:space="preserve"> allow compensation for victims of discrimination.</w:t>
            </w:r>
          </w:p>
          <w:p w14:paraId="29F785E7" w14:textId="77777777" w:rsidR="00AF3915" w:rsidRDefault="00AF3915" w:rsidP="0069133E">
            <w:pPr>
              <w:rPr>
                <w:rStyle w:val="PageNumber"/>
              </w:rPr>
            </w:pPr>
            <w:r>
              <w:rPr>
                <w:rStyle w:val="PageNumber"/>
              </w:rPr>
              <w:t xml:space="preserve">At least in respect of the public sector, the positive duty could also include requirements to advance equality of </w:t>
            </w:r>
            <w:r w:rsidR="00225B14">
              <w:rPr>
                <w:rStyle w:val="PageNumber"/>
              </w:rPr>
              <w:t>outcomes, such as placing requirements on public authorities to:</w:t>
            </w:r>
          </w:p>
          <w:p w14:paraId="17D8BAAC" w14:textId="11013320" w:rsidR="00225B14" w:rsidRDefault="00225B14" w:rsidP="00225B14">
            <w:pPr>
              <w:pStyle w:val="Bullet"/>
            </w:pPr>
            <w:r>
              <w:t>remove or minimise disadvantages suffered by people due to their protected attributes;</w:t>
            </w:r>
          </w:p>
          <w:p w14:paraId="707E2476" w14:textId="5E1D748C" w:rsidR="00225B14" w:rsidRDefault="00225B14" w:rsidP="00225B14">
            <w:pPr>
              <w:pStyle w:val="Bullet"/>
            </w:pPr>
            <w:r>
              <w:t xml:space="preserve">take steps to meet the needs of people with </w:t>
            </w:r>
            <w:r w:rsidR="006D0234">
              <w:t>particular protected attributes</w:t>
            </w:r>
            <w:r>
              <w:t xml:space="preserve"> where these are different from the needs of other people; and</w:t>
            </w:r>
          </w:p>
          <w:p w14:paraId="7E52EBA6" w14:textId="14942562" w:rsidR="00225B14" w:rsidRDefault="00225B14" w:rsidP="0069133E">
            <w:pPr>
              <w:pStyle w:val="Bullet"/>
              <w:rPr>
                <w:rStyle w:val="PageNumber"/>
              </w:rPr>
            </w:pPr>
            <w:r>
              <w:t>encourag</w:t>
            </w:r>
            <w:r w:rsidR="006D0234">
              <w:t>e</w:t>
            </w:r>
            <w:r>
              <w:t xml:space="preserve"> people </w:t>
            </w:r>
            <w:r w:rsidR="006D0234">
              <w:t>with protected attribute</w:t>
            </w:r>
            <w:r>
              <w:t xml:space="preserve"> to participate in public life or in other activities where their participation is disproportionately low.</w:t>
            </w:r>
          </w:p>
        </w:tc>
      </w:tr>
    </w:tbl>
    <w:p w14:paraId="78C318C1" w14:textId="0968678E" w:rsidR="006331AA" w:rsidRDefault="009979B4" w:rsidP="009979B4">
      <w:pPr>
        <w:pStyle w:val="Heading1"/>
      </w:pPr>
      <w:bookmarkStart w:id="23" w:name="_Toc94283556"/>
      <w:bookmarkStart w:id="24" w:name="_Ref94284444"/>
      <w:r>
        <w:t>Ending hate-based conduct</w:t>
      </w:r>
      <w:bookmarkEnd w:id="23"/>
      <w:bookmarkEnd w:id="24"/>
    </w:p>
    <w:p w14:paraId="035EB64D" w14:textId="6C9096CD" w:rsidR="00AD3240" w:rsidRDefault="00AD3240" w:rsidP="00AD3240">
      <w:pPr>
        <w:pStyle w:val="Intro"/>
      </w:pPr>
      <w:r>
        <w:t>Laws must protect people who experience hate-based conduct</w:t>
      </w:r>
      <w:r w:rsidR="008C3673">
        <w:t>,</w:t>
      </w:r>
      <w:r>
        <w:t xml:space="preserve"> as well as prohibiting conduct that incites hatred against LGBTIQ+ people and other groups</w:t>
      </w:r>
      <w:r w:rsidR="00AB31F2">
        <w:t xml:space="preserve">. </w:t>
      </w:r>
      <w:r>
        <w:t>Vilification and victimisation protections on various grounds are currently provided under the Act,</w:t>
      </w:r>
      <w:r>
        <w:rPr>
          <w:rStyle w:val="FootnoteReference"/>
        </w:rPr>
        <w:footnoteReference w:id="33"/>
      </w:r>
      <w:r>
        <w:t xml:space="preserve"> but these protections do not provide </w:t>
      </w:r>
      <w:r w:rsidR="008C3673">
        <w:t xml:space="preserve">the </w:t>
      </w:r>
      <w:r>
        <w:t>harm-based protections</w:t>
      </w:r>
      <w:r w:rsidR="008C3673">
        <w:t xml:space="preserve"> afforded in some other discrimination laws</w:t>
      </w:r>
      <w:r>
        <w:t>.</w:t>
      </w:r>
    </w:p>
    <w:p w14:paraId="63846C9B" w14:textId="77777777" w:rsidR="00AD3240" w:rsidRPr="003628D0" w:rsidRDefault="00AD3240" w:rsidP="008C3673">
      <w:pPr>
        <w:pStyle w:val="Heading2"/>
      </w:pPr>
      <w:bookmarkStart w:id="25" w:name="_Toc94283557"/>
      <w:r>
        <w:t>The need for effective anti-hate laws covering LGBTIQ+ people</w:t>
      </w:r>
      <w:bookmarkEnd w:id="25"/>
    </w:p>
    <w:p w14:paraId="6A475ED5" w14:textId="58B4352F" w:rsidR="00AD3240" w:rsidRPr="003628D0" w:rsidRDefault="00AD3240" w:rsidP="00AD3240">
      <w:r>
        <w:t xml:space="preserve">Unfortunately, LGBTIQ+ people remain the target of abuse, threats, harassment and violence in public and online settings that goes beyond </w:t>
      </w:r>
      <w:r w:rsidR="008714E4">
        <w:t>‘</w:t>
      </w:r>
      <w:r>
        <w:t>incitement</w:t>
      </w:r>
      <w:r w:rsidR="008714E4">
        <w:t>’</w:t>
      </w:r>
      <w:r w:rsidR="00AB31F2">
        <w:t xml:space="preserve">. </w:t>
      </w:r>
      <w:r>
        <w:t xml:space="preserve">For example, here is the data on experiences of harassment and violence from the national </w:t>
      </w:r>
      <w:r>
        <w:rPr>
          <w:i/>
          <w:iCs/>
        </w:rPr>
        <w:t xml:space="preserve">Private Lives 2 </w:t>
      </w:r>
      <w:r>
        <w:t>(2012)</w:t>
      </w:r>
      <w:r>
        <w:rPr>
          <w:i/>
          <w:iCs/>
        </w:rPr>
        <w:t xml:space="preserve"> </w:t>
      </w:r>
      <w:r w:rsidRPr="00340E07">
        <w:t>and</w:t>
      </w:r>
      <w:r>
        <w:rPr>
          <w:i/>
          <w:iCs/>
        </w:rPr>
        <w:t xml:space="preserve"> Private Lives 3 </w:t>
      </w:r>
      <w:r>
        <w:t>(2020)</w:t>
      </w:r>
      <w:r>
        <w:rPr>
          <w:i/>
          <w:iCs/>
        </w:rPr>
        <w:t xml:space="preserve"> </w:t>
      </w:r>
      <w:r>
        <w:t>reports, being the largest surveys of LGBTIQ+ people in Australia (n = 6,835 LGBTIQ Australians in 2020; 5,476 LGBT Australians in 2012).</w:t>
      </w:r>
      <w:r>
        <w:rPr>
          <w:rStyle w:val="FootnoteReference"/>
        </w:rPr>
        <w:footnoteReference w:id="34"/>
      </w:r>
    </w:p>
    <w:tbl>
      <w:tblPr>
        <w:tblStyle w:val="EQAUTable"/>
        <w:tblW w:w="0" w:type="auto"/>
        <w:tblBorders>
          <w:top w:val="single" w:sz="4" w:space="0" w:color="auto"/>
        </w:tblBorders>
        <w:tblLook w:val="04A0" w:firstRow="1" w:lastRow="0" w:firstColumn="1" w:lastColumn="0" w:noHBand="0" w:noVBand="1"/>
      </w:tblPr>
      <w:tblGrid>
        <w:gridCol w:w="2830"/>
        <w:gridCol w:w="2268"/>
        <w:gridCol w:w="2268"/>
        <w:gridCol w:w="1525"/>
      </w:tblGrid>
      <w:tr w:rsidR="00AD3240" w14:paraId="22CC4958" w14:textId="77777777" w:rsidTr="008714E4">
        <w:trPr>
          <w:cnfStyle w:val="100000000000" w:firstRow="1" w:lastRow="0" w:firstColumn="0" w:lastColumn="0" w:oddVBand="0" w:evenVBand="0" w:oddHBand="0" w:evenHBand="0" w:firstRowFirstColumn="0" w:firstRowLastColumn="0" w:lastRowFirstColumn="0" w:lastRowLastColumn="0"/>
          <w:cantSplit/>
          <w:tblHeader/>
        </w:trPr>
        <w:tc>
          <w:tcPr>
            <w:tcW w:w="2830" w:type="dxa"/>
            <w:tcBorders>
              <w:top w:val="none" w:sz="0" w:space="0" w:color="auto"/>
              <w:left w:val="none" w:sz="0" w:space="0" w:color="auto"/>
              <w:bottom w:val="none" w:sz="0" w:space="0" w:color="auto"/>
              <w:right w:val="none" w:sz="0" w:space="0" w:color="auto"/>
            </w:tcBorders>
          </w:tcPr>
          <w:p w14:paraId="4F0DFA21" w14:textId="77777777" w:rsidR="00AD3240" w:rsidRPr="00C308E6" w:rsidRDefault="00AD3240" w:rsidP="0069133E">
            <w:pPr>
              <w:pStyle w:val="Tableheading"/>
            </w:pPr>
            <w:r w:rsidRPr="00C308E6">
              <w:t>Type of conduct</w:t>
            </w:r>
          </w:p>
        </w:tc>
        <w:tc>
          <w:tcPr>
            <w:tcW w:w="2268" w:type="dxa"/>
            <w:tcBorders>
              <w:top w:val="none" w:sz="0" w:space="0" w:color="auto"/>
              <w:left w:val="none" w:sz="0" w:space="0" w:color="auto"/>
              <w:bottom w:val="none" w:sz="0" w:space="0" w:color="auto"/>
              <w:right w:val="none" w:sz="0" w:space="0" w:color="auto"/>
            </w:tcBorders>
          </w:tcPr>
          <w:p w14:paraId="66419B47" w14:textId="77777777" w:rsidR="00AD3240" w:rsidRDefault="00AD3240" w:rsidP="0069133E">
            <w:pPr>
              <w:pStyle w:val="Tableheading"/>
            </w:pPr>
            <w:r>
              <w:t>Private lives 2 (2012)</w:t>
            </w:r>
          </w:p>
          <w:p w14:paraId="7DEEE415" w14:textId="77777777" w:rsidR="00AD3240" w:rsidRPr="004708CA" w:rsidRDefault="00AD3240" w:rsidP="0069133E">
            <w:pPr>
              <w:pStyle w:val="Tabletext"/>
              <w:rPr>
                <w:b/>
                <w:bCs/>
              </w:rPr>
            </w:pPr>
            <w:r w:rsidRPr="004708CA">
              <w:rPr>
                <w:b/>
                <w:bCs/>
              </w:rPr>
              <w:t>Experiences of heterosexist violence and harassment in the last year before the survey</w:t>
            </w:r>
          </w:p>
        </w:tc>
        <w:tc>
          <w:tcPr>
            <w:tcW w:w="2268" w:type="dxa"/>
            <w:tcBorders>
              <w:top w:val="none" w:sz="0" w:space="0" w:color="auto"/>
              <w:left w:val="none" w:sz="0" w:space="0" w:color="auto"/>
              <w:bottom w:val="none" w:sz="0" w:space="0" w:color="auto"/>
              <w:right w:val="none" w:sz="0" w:space="0" w:color="auto"/>
            </w:tcBorders>
          </w:tcPr>
          <w:p w14:paraId="50B0EC0B" w14:textId="77777777" w:rsidR="00AD3240" w:rsidRDefault="00AD3240" w:rsidP="0069133E">
            <w:pPr>
              <w:pStyle w:val="Tableheading"/>
            </w:pPr>
            <w:r>
              <w:t xml:space="preserve">Private Lives 3 (2020)  </w:t>
            </w:r>
          </w:p>
          <w:p w14:paraId="2E5C49EC" w14:textId="77777777" w:rsidR="00AD3240" w:rsidRPr="00340E07" w:rsidRDefault="00AD3240" w:rsidP="0069133E">
            <w:pPr>
              <w:pStyle w:val="Tabletext"/>
              <w:rPr>
                <w:b/>
                <w:bCs/>
              </w:rPr>
            </w:pPr>
            <w:r w:rsidRPr="00340E07">
              <w:rPr>
                <w:b/>
                <w:bCs/>
              </w:rPr>
              <w:t>Experiences of violence and harassment due to sexual orientation or gender identity in the last year before the survey</w:t>
            </w:r>
          </w:p>
        </w:tc>
        <w:tc>
          <w:tcPr>
            <w:tcW w:w="1525" w:type="dxa"/>
            <w:tcBorders>
              <w:top w:val="none" w:sz="0" w:space="0" w:color="auto"/>
              <w:left w:val="none" w:sz="0" w:space="0" w:color="auto"/>
              <w:bottom w:val="none" w:sz="0" w:space="0" w:color="auto"/>
              <w:right w:val="none" w:sz="0" w:space="0" w:color="auto"/>
            </w:tcBorders>
          </w:tcPr>
          <w:p w14:paraId="258CBA1A" w14:textId="77777777" w:rsidR="00AD3240" w:rsidRDefault="00AD3240" w:rsidP="0069133E">
            <w:pPr>
              <w:pStyle w:val="Tableheading"/>
            </w:pPr>
            <w:r>
              <w:t>Approximate Change</w:t>
            </w:r>
          </w:p>
        </w:tc>
      </w:tr>
      <w:tr w:rsidR="00AD3240" w:rsidRPr="003E6D4C" w14:paraId="6E7B1D80" w14:textId="77777777" w:rsidTr="0069133E">
        <w:trPr>
          <w:cantSplit/>
        </w:trPr>
        <w:tc>
          <w:tcPr>
            <w:tcW w:w="2830" w:type="dxa"/>
          </w:tcPr>
          <w:p w14:paraId="12267CE7" w14:textId="77777777" w:rsidR="00AD3240" w:rsidRDefault="00AD3240" w:rsidP="0069133E">
            <w:pPr>
              <w:pStyle w:val="Tabletext"/>
            </w:pPr>
            <w:r>
              <w:t>Verbal abuse (including hateful or obscene phone calls)</w:t>
            </w:r>
          </w:p>
        </w:tc>
        <w:tc>
          <w:tcPr>
            <w:tcW w:w="2268" w:type="dxa"/>
          </w:tcPr>
          <w:p w14:paraId="69926BC7" w14:textId="77777777" w:rsidR="00AD3240" w:rsidRDefault="00AD3240" w:rsidP="0069133E">
            <w:pPr>
              <w:pStyle w:val="Tabletext"/>
              <w:jc w:val="center"/>
            </w:pPr>
            <w:r>
              <w:t>25.5%</w:t>
            </w:r>
          </w:p>
        </w:tc>
        <w:tc>
          <w:tcPr>
            <w:tcW w:w="2268" w:type="dxa"/>
          </w:tcPr>
          <w:p w14:paraId="313DA489" w14:textId="77777777" w:rsidR="00AD3240" w:rsidRDefault="00AD3240" w:rsidP="0069133E">
            <w:pPr>
              <w:pStyle w:val="Tabletext"/>
              <w:jc w:val="center"/>
            </w:pPr>
            <w:r>
              <w:t>34.6%</w:t>
            </w:r>
          </w:p>
        </w:tc>
        <w:tc>
          <w:tcPr>
            <w:tcW w:w="1525" w:type="dxa"/>
          </w:tcPr>
          <w:p w14:paraId="24DDDD2F" w14:textId="77777777" w:rsidR="00AD3240" w:rsidRPr="003E6D4C" w:rsidRDefault="00AD3240" w:rsidP="0069133E">
            <w:pPr>
              <w:pStyle w:val="Tabletext"/>
              <w:jc w:val="center"/>
              <w:rPr>
                <w:color w:val="FF0000"/>
              </w:rPr>
            </w:pPr>
            <w:r w:rsidRPr="003E6D4C">
              <w:rPr>
                <w:color w:val="FF0000"/>
              </w:rPr>
              <w:t>↑ 9.1%</w:t>
            </w:r>
          </w:p>
        </w:tc>
      </w:tr>
      <w:tr w:rsidR="00AD3240" w:rsidRPr="003E6D4C" w14:paraId="4DFA7955" w14:textId="77777777" w:rsidTr="0069133E">
        <w:trPr>
          <w:cantSplit/>
        </w:trPr>
        <w:tc>
          <w:tcPr>
            <w:tcW w:w="2830" w:type="dxa"/>
          </w:tcPr>
          <w:p w14:paraId="0427B802" w14:textId="77777777" w:rsidR="00AD3240" w:rsidRDefault="00AD3240" w:rsidP="0069133E">
            <w:pPr>
              <w:pStyle w:val="Tabletext"/>
            </w:pPr>
            <w:r>
              <w:t>Harassment such as being spat at and offensive gestures</w:t>
            </w:r>
          </w:p>
        </w:tc>
        <w:tc>
          <w:tcPr>
            <w:tcW w:w="2268" w:type="dxa"/>
          </w:tcPr>
          <w:p w14:paraId="02CAC5A0" w14:textId="77777777" w:rsidR="00AD3240" w:rsidRDefault="00AD3240" w:rsidP="0069133E">
            <w:pPr>
              <w:pStyle w:val="Tabletext"/>
              <w:jc w:val="center"/>
            </w:pPr>
            <w:r>
              <w:t>15.5%</w:t>
            </w:r>
          </w:p>
        </w:tc>
        <w:tc>
          <w:tcPr>
            <w:tcW w:w="2268" w:type="dxa"/>
          </w:tcPr>
          <w:p w14:paraId="380C34A3" w14:textId="77777777" w:rsidR="00AD3240" w:rsidRDefault="00AD3240" w:rsidP="0069133E">
            <w:pPr>
              <w:pStyle w:val="Tabletext"/>
              <w:jc w:val="center"/>
            </w:pPr>
            <w:r>
              <w:t>23.6%</w:t>
            </w:r>
          </w:p>
        </w:tc>
        <w:tc>
          <w:tcPr>
            <w:tcW w:w="1525" w:type="dxa"/>
          </w:tcPr>
          <w:p w14:paraId="474C1CD2" w14:textId="77777777" w:rsidR="00AD3240" w:rsidRPr="003E6D4C" w:rsidRDefault="00AD3240" w:rsidP="0069133E">
            <w:pPr>
              <w:pStyle w:val="Tabletext"/>
              <w:jc w:val="center"/>
              <w:rPr>
                <w:color w:val="FF0000"/>
              </w:rPr>
            </w:pPr>
            <w:r w:rsidRPr="003E6D4C">
              <w:rPr>
                <w:color w:val="FF0000"/>
              </w:rPr>
              <w:t>↑ 8.1%</w:t>
            </w:r>
          </w:p>
        </w:tc>
      </w:tr>
      <w:tr w:rsidR="00AD3240" w:rsidRPr="003E6D4C" w14:paraId="5DB91F95" w14:textId="77777777" w:rsidTr="0069133E">
        <w:trPr>
          <w:cantSplit/>
        </w:trPr>
        <w:tc>
          <w:tcPr>
            <w:tcW w:w="2830" w:type="dxa"/>
          </w:tcPr>
          <w:p w14:paraId="1D0D91F0" w14:textId="77777777" w:rsidR="00AD3240" w:rsidRDefault="00AD3240" w:rsidP="0069133E">
            <w:pPr>
              <w:pStyle w:val="Tabletext"/>
            </w:pPr>
            <w:r>
              <w:t>Written threats of abuse</w:t>
            </w:r>
          </w:p>
        </w:tc>
        <w:tc>
          <w:tcPr>
            <w:tcW w:w="2268" w:type="dxa"/>
          </w:tcPr>
          <w:p w14:paraId="2CA478C8" w14:textId="77777777" w:rsidR="00AD3240" w:rsidRDefault="00AD3240" w:rsidP="0069133E">
            <w:pPr>
              <w:pStyle w:val="Tabletext"/>
              <w:jc w:val="center"/>
            </w:pPr>
            <w:r>
              <w:t>6.6% (including emails and graffiti)</w:t>
            </w:r>
          </w:p>
        </w:tc>
        <w:tc>
          <w:tcPr>
            <w:tcW w:w="2268" w:type="dxa"/>
          </w:tcPr>
          <w:p w14:paraId="3CBA6D45" w14:textId="77777777" w:rsidR="00AD3240" w:rsidRDefault="00AD3240" w:rsidP="0069133E">
            <w:pPr>
              <w:pStyle w:val="Tabletext"/>
              <w:jc w:val="center"/>
            </w:pPr>
            <w:r>
              <w:t>22.1% (via emails, social media)</w:t>
            </w:r>
          </w:p>
          <w:p w14:paraId="56FEB706" w14:textId="77777777" w:rsidR="00AD3240" w:rsidRDefault="00AD3240" w:rsidP="0069133E">
            <w:pPr>
              <w:pStyle w:val="Tabletext"/>
              <w:jc w:val="center"/>
            </w:pPr>
            <w:r>
              <w:t>11.4% (in other ways)</w:t>
            </w:r>
          </w:p>
        </w:tc>
        <w:tc>
          <w:tcPr>
            <w:tcW w:w="1525" w:type="dxa"/>
          </w:tcPr>
          <w:p w14:paraId="04C03B8C" w14:textId="77777777" w:rsidR="00AD3240" w:rsidRPr="003E6D4C" w:rsidRDefault="00AD3240" w:rsidP="0069133E">
            <w:pPr>
              <w:pStyle w:val="Tabletext"/>
              <w:jc w:val="center"/>
              <w:rPr>
                <w:color w:val="FF0000"/>
              </w:rPr>
            </w:pPr>
            <w:r w:rsidRPr="003E6D4C">
              <w:rPr>
                <w:color w:val="FF0000"/>
              </w:rPr>
              <w:t>c. ↑ 26.9%</w:t>
            </w:r>
          </w:p>
        </w:tc>
      </w:tr>
      <w:tr w:rsidR="00AD3240" w:rsidRPr="003E6D4C" w14:paraId="55B71CD0" w14:textId="77777777" w:rsidTr="0069133E">
        <w:trPr>
          <w:cantSplit/>
        </w:trPr>
        <w:tc>
          <w:tcPr>
            <w:tcW w:w="2830" w:type="dxa"/>
          </w:tcPr>
          <w:p w14:paraId="21FD7A09" w14:textId="77777777" w:rsidR="00AD3240" w:rsidRDefault="00AD3240" w:rsidP="0069133E">
            <w:pPr>
              <w:pStyle w:val="Tabletext"/>
            </w:pPr>
            <w:r>
              <w:t>Threats of physical violence, physical attack or assault without a weapon</w:t>
            </w:r>
          </w:p>
        </w:tc>
        <w:tc>
          <w:tcPr>
            <w:tcW w:w="2268" w:type="dxa"/>
          </w:tcPr>
          <w:p w14:paraId="143F7C1F" w14:textId="77777777" w:rsidR="00AD3240" w:rsidRDefault="00AD3240" w:rsidP="0069133E">
            <w:pPr>
              <w:pStyle w:val="Tabletext"/>
              <w:jc w:val="center"/>
            </w:pPr>
            <w:r>
              <w:t>8.7%</w:t>
            </w:r>
          </w:p>
        </w:tc>
        <w:tc>
          <w:tcPr>
            <w:tcW w:w="2268" w:type="dxa"/>
          </w:tcPr>
          <w:p w14:paraId="6289645C" w14:textId="77777777" w:rsidR="00AD3240" w:rsidRDefault="00AD3240" w:rsidP="0069133E">
            <w:pPr>
              <w:pStyle w:val="Tabletext"/>
              <w:jc w:val="center"/>
            </w:pPr>
            <w:r>
              <w:t>14.6%</w:t>
            </w:r>
          </w:p>
        </w:tc>
        <w:tc>
          <w:tcPr>
            <w:tcW w:w="1525" w:type="dxa"/>
          </w:tcPr>
          <w:p w14:paraId="4BDC18FA" w14:textId="77777777" w:rsidR="00AD3240" w:rsidRPr="003E6D4C" w:rsidRDefault="00AD3240" w:rsidP="0069133E">
            <w:pPr>
              <w:pStyle w:val="Tabletext"/>
              <w:jc w:val="center"/>
              <w:rPr>
                <w:color w:val="FF0000"/>
              </w:rPr>
            </w:pPr>
            <w:r w:rsidRPr="003E6D4C">
              <w:rPr>
                <w:color w:val="FF0000"/>
              </w:rPr>
              <w:t>↑ 5.9%</w:t>
            </w:r>
          </w:p>
        </w:tc>
      </w:tr>
      <w:tr w:rsidR="00AD3240" w:rsidRPr="003E6D4C" w14:paraId="2FDD4D32" w14:textId="77777777" w:rsidTr="0069133E">
        <w:trPr>
          <w:cantSplit/>
        </w:trPr>
        <w:tc>
          <w:tcPr>
            <w:tcW w:w="2830" w:type="dxa"/>
          </w:tcPr>
          <w:p w14:paraId="6CD94A46" w14:textId="77777777" w:rsidR="00AD3240" w:rsidRDefault="00AD3240" w:rsidP="0069133E">
            <w:pPr>
              <w:pStyle w:val="Tabletext"/>
            </w:pPr>
            <w:r>
              <w:t>Deliberate damage to property or vandalism of a house and/or car</w:t>
            </w:r>
          </w:p>
        </w:tc>
        <w:tc>
          <w:tcPr>
            <w:tcW w:w="2268" w:type="dxa"/>
          </w:tcPr>
          <w:p w14:paraId="67036327" w14:textId="77777777" w:rsidR="00AD3240" w:rsidRDefault="00AD3240" w:rsidP="0069133E">
            <w:pPr>
              <w:pStyle w:val="Tabletext"/>
              <w:jc w:val="center"/>
            </w:pPr>
            <w:r>
              <w:t>2.4% (house)</w:t>
            </w:r>
          </w:p>
          <w:p w14:paraId="07FFB599" w14:textId="77777777" w:rsidR="00AD3240" w:rsidRDefault="00AD3240" w:rsidP="0069133E">
            <w:pPr>
              <w:pStyle w:val="Tabletext"/>
              <w:jc w:val="center"/>
            </w:pPr>
            <w:r>
              <w:t>3.3% (car)</w:t>
            </w:r>
          </w:p>
        </w:tc>
        <w:tc>
          <w:tcPr>
            <w:tcW w:w="2268" w:type="dxa"/>
          </w:tcPr>
          <w:p w14:paraId="77E66DAB" w14:textId="77777777" w:rsidR="00AD3240" w:rsidRDefault="00AD3240" w:rsidP="0069133E">
            <w:pPr>
              <w:pStyle w:val="Tabletext"/>
              <w:jc w:val="center"/>
            </w:pPr>
            <w:r>
              <w:t>4.8% (house)</w:t>
            </w:r>
          </w:p>
          <w:p w14:paraId="5E0A3713" w14:textId="77777777" w:rsidR="00AD3240" w:rsidRDefault="00AD3240" w:rsidP="0069133E">
            <w:pPr>
              <w:pStyle w:val="Tabletext"/>
              <w:jc w:val="center"/>
            </w:pPr>
            <w:r>
              <w:t>3.7% (car)</w:t>
            </w:r>
          </w:p>
        </w:tc>
        <w:tc>
          <w:tcPr>
            <w:tcW w:w="1525" w:type="dxa"/>
          </w:tcPr>
          <w:p w14:paraId="48EFBAC7" w14:textId="77777777" w:rsidR="00AD3240" w:rsidRPr="003E6D4C" w:rsidRDefault="00AD3240" w:rsidP="0069133E">
            <w:pPr>
              <w:pStyle w:val="Tabletext"/>
              <w:jc w:val="center"/>
              <w:rPr>
                <w:color w:val="FF0000"/>
              </w:rPr>
            </w:pPr>
            <w:r w:rsidRPr="003E6D4C">
              <w:rPr>
                <w:color w:val="FF0000"/>
              </w:rPr>
              <w:t>c. ↑ 2.8%</w:t>
            </w:r>
          </w:p>
        </w:tc>
      </w:tr>
      <w:tr w:rsidR="00AD3240" w:rsidRPr="003E6D4C" w14:paraId="5C35FAAD" w14:textId="77777777" w:rsidTr="0069133E">
        <w:trPr>
          <w:cantSplit/>
        </w:trPr>
        <w:tc>
          <w:tcPr>
            <w:tcW w:w="2830" w:type="dxa"/>
          </w:tcPr>
          <w:p w14:paraId="57E73607" w14:textId="77777777" w:rsidR="00AD3240" w:rsidRDefault="00AD3240" w:rsidP="0069133E">
            <w:pPr>
              <w:pStyle w:val="Tabletext"/>
            </w:pPr>
            <w:r>
              <w:t>Physical attack or assault with a weapon (knife, bottle, stones)</w:t>
            </w:r>
          </w:p>
        </w:tc>
        <w:tc>
          <w:tcPr>
            <w:tcW w:w="2268" w:type="dxa"/>
          </w:tcPr>
          <w:p w14:paraId="5C109397" w14:textId="77777777" w:rsidR="00AD3240" w:rsidRDefault="00AD3240" w:rsidP="0069133E">
            <w:pPr>
              <w:pStyle w:val="Tabletext"/>
              <w:jc w:val="center"/>
            </w:pPr>
            <w:r>
              <w:t>1.8%</w:t>
            </w:r>
          </w:p>
        </w:tc>
        <w:tc>
          <w:tcPr>
            <w:tcW w:w="2268" w:type="dxa"/>
          </w:tcPr>
          <w:p w14:paraId="02FAFB06" w14:textId="77777777" w:rsidR="00AD3240" w:rsidRDefault="00AD3240" w:rsidP="0069133E">
            <w:pPr>
              <w:pStyle w:val="Tabletext"/>
              <w:jc w:val="center"/>
            </w:pPr>
            <w:r>
              <w:t>3.9%</w:t>
            </w:r>
          </w:p>
        </w:tc>
        <w:tc>
          <w:tcPr>
            <w:tcW w:w="1525" w:type="dxa"/>
          </w:tcPr>
          <w:p w14:paraId="717CCF9F" w14:textId="77777777" w:rsidR="00AD3240" w:rsidRPr="003E6D4C" w:rsidRDefault="00AD3240" w:rsidP="0069133E">
            <w:pPr>
              <w:pStyle w:val="Tabletext"/>
              <w:jc w:val="center"/>
              <w:rPr>
                <w:color w:val="FF0000"/>
              </w:rPr>
            </w:pPr>
            <w:r w:rsidRPr="003E6D4C">
              <w:rPr>
                <w:color w:val="FF0000"/>
              </w:rPr>
              <w:t>↑ 2.1%</w:t>
            </w:r>
          </w:p>
        </w:tc>
      </w:tr>
    </w:tbl>
    <w:p w14:paraId="1DDEAF9E" w14:textId="77777777" w:rsidR="00AD3240" w:rsidRDefault="00AD3240" w:rsidP="00AD3240">
      <w:r>
        <w:t>While the surveys each asked slightly different questions which makes it difficult to draw direct comparisons, this data still suggests both an increase in the proportion of LGBTIQ people reporting recent experiences of violence and harassment based on their sexual orientation (and in 2020 also based on their gender identity), and also a significant number of LGBTIQ people (almost 1 in 5) who are now experiencing harassment online.</w:t>
      </w:r>
    </w:p>
    <w:p w14:paraId="0304020A" w14:textId="77777777" w:rsidR="00AD3240" w:rsidRDefault="00AD3240" w:rsidP="00A976C7">
      <w:r>
        <w:t>The research also shows that certain populations within the LGBTIQ+ population have experienced high – and sometimes higher than the broader LGBTIQ+ population – rates of violence and harassment, including:</w:t>
      </w:r>
    </w:p>
    <w:p w14:paraId="4BCEF19B" w14:textId="77777777" w:rsidR="00AD3240" w:rsidRDefault="00AD3240" w:rsidP="00A976C7">
      <w:pPr>
        <w:pStyle w:val="Bullet"/>
      </w:pPr>
      <w:r>
        <w:t xml:space="preserve">In </w:t>
      </w:r>
      <w:r w:rsidRPr="00A976C7">
        <w:t>data</w:t>
      </w:r>
      <w:r>
        <w:t xml:space="preserve"> from the 2012 </w:t>
      </w:r>
      <w:r w:rsidRPr="009049D7">
        <w:rPr>
          <w:i/>
          <w:iCs/>
        </w:rPr>
        <w:t>Private Lives 2</w:t>
      </w:r>
      <w:r>
        <w:t xml:space="preserve"> national study, </w:t>
      </w:r>
      <w:r w:rsidRPr="00C92011">
        <w:t>LGBT respondents with a disability were</w:t>
      </w:r>
      <w:r>
        <w:t xml:space="preserve"> found even </w:t>
      </w:r>
      <w:r w:rsidRPr="00C92011">
        <w:t>more likely to have been subject to verbal abuse than respondents without disability in the previous year (32% versus 24%); more likely to have ‘received written threats of abuse including emails and graffiti’ (11% versus 5%); more likely to have been subject to harassment (21% vs 14%); and more likely to have been subject to threats of physical violence or physical assault without weapon such as being punched, kicked, or beaten (13% vs 8%)</w:t>
      </w:r>
      <w:r>
        <w:t>.</w:t>
      </w:r>
      <w:r>
        <w:rPr>
          <w:rStyle w:val="FootnoteReference"/>
        </w:rPr>
        <w:footnoteReference w:id="35"/>
      </w:r>
    </w:p>
    <w:p w14:paraId="5D179516" w14:textId="22927728" w:rsidR="00AD3240" w:rsidRDefault="00AD3240" w:rsidP="00A976C7">
      <w:pPr>
        <w:pStyle w:val="Bullet"/>
      </w:pPr>
      <w:r>
        <w:t>A 2018-19 national survey of 528 trans and gender diverse adults found that 71% reported verbal harassment (74% of which occurred in the last 12 months) and 37% reported physical intimidation and threats (49% of which occurred in the last 12 months)</w:t>
      </w:r>
      <w:r w:rsidR="00AB31F2">
        <w:t xml:space="preserve">. </w:t>
      </w:r>
      <w:r>
        <w:t>One in five participants had been physically assaulted, with a third of those assaults occurring in the last 12 months.</w:t>
      </w:r>
      <w:r>
        <w:rPr>
          <w:rStyle w:val="FootnoteReference"/>
        </w:rPr>
        <w:footnoteReference w:id="36"/>
      </w:r>
      <w:r>
        <w:t xml:space="preserve"> </w:t>
      </w:r>
    </w:p>
    <w:p w14:paraId="6CBF4C4C" w14:textId="77777777" w:rsidR="00AD3240" w:rsidRDefault="00AD3240" w:rsidP="00A976C7">
      <w:pPr>
        <w:pStyle w:val="Bullet"/>
      </w:pPr>
      <w:r>
        <w:t xml:space="preserve">A 2016 survey of 272 people with intersex </w:t>
      </w:r>
      <w:r w:rsidRPr="00A976C7">
        <w:t>variations</w:t>
      </w:r>
      <w:r>
        <w:t xml:space="preserve"> (80% of which currently lived in Australia) included data from 77 participants who reporting experiencing bullying while at school, including on the basis of visible physical characteristics associated with a known intersex variation.</w:t>
      </w:r>
      <w:r>
        <w:rPr>
          <w:rStyle w:val="FootnoteReference"/>
        </w:rPr>
        <w:footnoteReference w:id="37"/>
      </w:r>
    </w:p>
    <w:p w14:paraId="01DF019D" w14:textId="4A2C1439" w:rsidR="00AD3240" w:rsidRDefault="00AD3240" w:rsidP="00A976C7">
      <w:pPr>
        <w:pStyle w:val="Bullet"/>
      </w:pPr>
      <w:r>
        <w:t xml:space="preserve">A 2010 </w:t>
      </w:r>
      <w:r w:rsidRPr="00A976C7">
        <w:t>national</w:t>
      </w:r>
      <w:r>
        <w:t xml:space="preserve"> survey of 3,134 same sex attracted and gender questioning young people found that 61% reported verbal abuse and 18% reported physical abuse because of homophobia</w:t>
      </w:r>
      <w:r w:rsidR="00AB31F2">
        <w:t xml:space="preserve">. </w:t>
      </w:r>
      <w:r>
        <w:t>School was the most likely place of abuse, accounting for 80% of those who were abused.</w:t>
      </w:r>
      <w:r>
        <w:rPr>
          <w:rStyle w:val="FootnoteReference"/>
        </w:rPr>
        <w:footnoteReference w:id="38"/>
      </w:r>
    </w:p>
    <w:p w14:paraId="634D9D34" w14:textId="77777777" w:rsidR="00AD3240" w:rsidRPr="006E177B" w:rsidRDefault="00AD3240" w:rsidP="00A976C7">
      <w:pPr>
        <w:pStyle w:val="Bullet"/>
      </w:pPr>
      <w:r>
        <w:t>A 2018 national survey of 847 people living with HIV found that more than half of participants (56%) reported experiencing stigma within the last 12 months in relation to their HIV status, including 9% reporting that they ‘often’ or ‘always’ experienced stigma.</w:t>
      </w:r>
      <w:r>
        <w:rPr>
          <w:rStyle w:val="FootnoteReference"/>
        </w:rPr>
        <w:footnoteReference w:id="39"/>
      </w:r>
      <w:r>
        <w:t xml:space="preserve">  One-third also reported negative treatment by health workers.</w:t>
      </w:r>
      <w:r>
        <w:rPr>
          <w:rStyle w:val="FootnoteReference"/>
        </w:rPr>
        <w:footnoteReference w:id="40"/>
      </w:r>
    </w:p>
    <w:p w14:paraId="3394C470" w14:textId="4CED17E5" w:rsidR="00AD3240" w:rsidRPr="003628D0" w:rsidRDefault="00AD3240" w:rsidP="00A976C7">
      <w:pPr>
        <w:pStyle w:val="Heading2"/>
      </w:pPr>
      <w:bookmarkStart w:id="26" w:name="_Toc94283558"/>
      <w:r>
        <w:t>The way forward</w:t>
      </w:r>
      <w:r w:rsidR="00A976C7">
        <w:t xml:space="preserve"> on hate-based conduct</w:t>
      </w:r>
      <w:bookmarkEnd w:id="26"/>
    </w:p>
    <w:p w14:paraId="6D40C06C" w14:textId="50CBA3CA" w:rsidR="00AD3240" w:rsidRDefault="00AD3240" w:rsidP="00AD3240">
      <w:r>
        <w:t xml:space="preserve">We support the introduction of complementary civil and criminal protections against hate-based conduct which uses a harm-based legal standard, as recently recommended by the Victorian Parliamentary Legal and Social Issues Committee </w:t>
      </w:r>
      <w:r>
        <w:rPr>
          <w:i/>
          <w:iCs/>
        </w:rPr>
        <w:t>Inquiry into Anti-Vilification Protections.</w:t>
      </w:r>
      <w:r>
        <w:rPr>
          <w:rStyle w:val="FootnoteReference"/>
        </w:rPr>
        <w:footnoteReference w:id="41"/>
      </w:r>
      <w:r>
        <w:t xml:space="preserve"> </w:t>
      </w:r>
      <w:r w:rsidR="00A976C7">
        <w:t xml:space="preserve"> </w:t>
      </w:r>
      <w:r>
        <w:t xml:space="preserve">This would expand current protections which are limited to </w:t>
      </w:r>
      <w:r w:rsidR="00C175AE">
        <w:t>vilification based on inciting hatred</w:t>
      </w:r>
      <w:r>
        <w:t xml:space="preserve"> to also capture harm-based conduct.</w:t>
      </w:r>
      <w:r>
        <w:rPr>
          <w:rStyle w:val="FootnoteReference"/>
        </w:rPr>
        <w:footnoteReference w:id="42"/>
      </w:r>
      <w:r>
        <w:t xml:space="preserve"> </w:t>
      </w:r>
      <w:r w:rsidR="00A976C7">
        <w:t xml:space="preserve"> </w:t>
      </w:r>
      <w:r>
        <w:t>Such provisions would make unlawful conduct on the basis of a protected attribute that humiliates or intimidates a person or group of persons, or which has profound and serious effects on their dignity or sense of safety, and which is not done reasonably and in good faith for a legitimate purpose</w:t>
      </w:r>
      <w:r w:rsidR="00AB31F2">
        <w:t xml:space="preserve">. </w:t>
      </w:r>
      <w:r>
        <w:t>The formulation proposed by the Victorian Parliamentary Legal and Social Issues Committee provides a good way forward, which builds on the strengths of existing Commonwealth and Tasmanian laws.</w:t>
      </w:r>
    </w:p>
    <w:p w14:paraId="6822D0DD" w14:textId="10177FF8" w:rsidR="00AD3240" w:rsidRDefault="00AD3240" w:rsidP="00AD3240">
      <w:r>
        <w:t>A harm-based protection would respond to a key limitation in traditional anti-vilification protections. Traditional anti-vilification protections tend to focus on the potential effects of the conduct in inciting hatred among a hypothetical audience, ignoring the very real and direct harm caused to the actual person who is targeted by that conduct</w:t>
      </w:r>
      <w:r w:rsidR="00AB31F2">
        <w:t xml:space="preserve">. </w:t>
      </w:r>
      <w:r>
        <w:t>For example, in considering whether anti-LGBTIQ+ graffiti painted on someone’s fence amounts to vilification, traditional anti-vilification protections focus on whether that conduct is likely to incite hatred, serious contempt or severe ridicule of persons on the ground of their sexual orientation, gender identity or sex characteristics among passers-by</w:t>
      </w:r>
      <w:r w:rsidR="00AB31F2">
        <w:t xml:space="preserve">. </w:t>
      </w:r>
      <w:r>
        <w:t>It does not consider whether the person whose fence has been graffitied has suffered any harm, such as the experience of being humiliated, intimidated, or being made to feel unsafe in their own home</w:t>
      </w:r>
      <w:r w:rsidR="00AB31F2">
        <w:t xml:space="preserve">. </w:t>
      </w:r>
      <w:r>
        <w:t xml:space="preserve">Amendments could be made to the Act, along with the </w:t>
      </w:r>
      <w:r>
        <w:rPr>
          <w:i/>
          <w:iCs/>
        </w:rPr>
        <w:t xml:space="preserve">Criminal Code 2002 </w:t>
      </w:r>
      <w:r>
        <w:t>(ACT), to bolster anti-vilification provisions by introducing harm-based protection</w:t>
      </w:r>
      <w:r w:rsidR="007E2FE4">
        <w:t>s</w:t>
      </w:r>
      <w:r>
        <w:t>.</w:t>
      </w:r>
    </w:p>
    <w:p w14:paraId="1AB3A234" w14:textId="0974522D" w:rsidR="00AD3240" w:rsidRDefault="00AD3240" w:rsidP="00AD3240">
      <w:r>
        <w:t>We would also support introducing an aggravating sentencing factor when crimes are committed involving prejudice-based motives</w:t>
      </w:r>
      <w:r w:rsidR="00AB31F2">
        <w:t xml:space="preserve">. </w:t>
      </w:r>
      <w:r>
        <w:t>This recognises that many commonly committed crimes, such as assaults or damage to property, can be motivated by prejudice, and that motivation can make a real difference in the impact it has on victims long after the crime has been committed</w:t>
      </w:r>
      <w:r w:rsidR="00AB31F2">
        <w:t xml:space="preserve">. </w:t>
      </w:r>
      <w:r>
        <w:t>For example, it is a very different thing for someone to have their car or fence vandalised with a meaningless slogan, than it is for someone to have their car or fence vandalised with words that express condemnation or disgust about their sexual orientation, gender identity or sex characteristics</w:t>
      </w:r>
      <w:r w:rsidR="00AB31F2">
        <w:t xml:space="preserve">. </w:t>
      </w:r>
      <w:r>
        <w:t>The first act of vandalism results in economic loss</w:t>
      </w:r>
      <w:r w:rsidR="00AB31F2">
        <w:t xml:space="preserve">. </w:t>
      </w:r>
      <w:r>
        <w:t>The second act results in both economic loss and the loss of safety, dignity and sense of belonging which may have once been felt by the victim of that crime</w:t>
      </w:r>
      <w:r w:rsidR="00AB31F2">
        <w:t xml:space="preserve">. </w:t>
      </w:r>
    </w:p>
    <w:p w14:paraId="7862584A" w14:textId="4C881A5A" w:rsidR="00AD3240" w:rsidRDefault="00AD3240" w:rsidP="00AD3240">
      <w:r>
        <w:t>Laws in NSW, Victoria, the Northern Territory and South Australia recognise these latter harms in their sentencing laws</w:t>
      </w:r>
      <w:r w:rsidR="00AB31F2">
        <w:t xml:space="preserve">. </w:t>
      </w:r>
      <w:r>
        <w:t>They require courts to consider – often as an aggravating factor when imposing sentences – whether an offence was motivated (whether wholly or partly) by hatred for or prejudice against a group of people that the offender believed the victim belonged.</w:t>
      </w:r>
      <w:r>
        <w:rPr>
          <w:rStyle w:val="FootnoteReference"/>
        </w:rPr>
        <w:footnoteReference w:id="43"/>
      </w:r>
    </w:p>
    <w:p w14:paraId="6FE1FFF2" w14:textId="570BC458" w:rsidR="00AD3240" w:rsidRDefault="00AD3240" w:rsidP="00AD3240">
      <w:r>
        <w:t>Additionally, the Act</w:t>
      </w:r>
      <w:r w:rsidR="00784BDD">
        <w:t>’</w:t>
      </w:r>
      <w:r>
        <w:t xml:space="preserve">s anti-vilification provision in section 67A could be </w:t>
      </w:r>
      <w:r w:rsidR="004423D5">
        <w:t>improved</w:t>
      </w:r>
      <w:r>
        <w:t xml:space="preserve"> by also prohibiting conduct that is </w:t>
      </w:r>
      <w:r w:rsidR="00082510">
        <w:t>‘</w:t>
      </w:r>
      <w:r>
        <w:t>reasonably likely to</w:t>
      </w:r>
      <w:r w:rsidR="00082510">
        <w:t>’</w:t>
      </w:r>
      <w:r>
        <w:t xml:space="preserve"> incite</w:t>
      </w:r>
      <w:r w:rsidR="00082510">
        <w:t xml:space="preserve"> hatred, revulsion, serious contempt</w:t>
      </w:r>
      <w:r w:rsidR="00A16B51">
        <w:t>,</w:t>
      </w:r>
      <w:r w:rsidR="00082510">
        <w:t xml:space="preserve"> or severe ridicule</w:t>
      </w:r>
      <w:r w:rsidR="00AB31F2">
        <w:t xml:space="preserve">. </w:t>
      </w:r>
      <w:r w:rsidR="00082510">
        <w:t>This would</w:t>
      </w:r>
      <w:r w:rsidR="00A16B51">
        <w:t xml:space="preserve"> slightly</w:t>
      </w:r>
      <w:r w:rsidR="00082510">
        <w:t xml:space="preserve"> lower the </w:t>
      </w:r>
      <w:r w:rsidR="005D6570">
        <w:t>threshold for vilification</w:t>
      </w:r>
      <w:r w:rsidR="00A16B51">
        <w:t xml:space="preserve"> to ensure it is easier for victim-survivors to establish.</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AD3240" w14:paraId="6C94B7D4" w14:textId="77777777" w:rsidTr="0069133E">
        <w:trPr>
          <w:trHeight w:val="664"/>
        </w:trPr>
        <w:tc>
          <w:tcPr>
            <w:tcW w:w="8871" w:type="dxa"/>
            <w:tcMar>
              <w:bottom w:w="142" w:type="dxa"/>
            </w:tcMar>
          </w:tcPr>
          <w:p w14:paraId="4C24EADD" w14:textId="78EA09D6" w:rsidR="00AD3240" w:rsidRDefault="00AD3240" w:rsidP="0069133E">
            <w:pPr>
              <w:pStyle w:val="Heading3"/>
              <w:outlineLvl w:val="2"/>
            </w:pPr>
            <w:r>
              <w:t>recommendation</w:t>
            </w:r>
            <w:r w:rsidR="00E577AE">
              <w:t xml:space="preserve"> 7</w:t>
            </w:r>
          </w:p>
          <w:p w14:paraId="2DBA72F1" w14:textId="12155563" w:rsidR="001E1D79" w:rsidRDefault="001E1D79" w:rsidP="0069133E">
            <w:r>
              <w:t>Amend section 67A to prohibit vilifying conduct that is ‘reasonably likely’ to incite hatred, revulsion, serious contempt, or severe ridicule.</w:t>
            </w:r>
          </w:p>
          <w:p w14:paraId="3F52F52E" w14:textId="43EE72E4" w:rsidR="001E1D79" w:rsidRDefault="00332459" w:rsidP="0069133E">
            <w:pPr>
              <w:rPr>
                <w:rStyle w:val="PageNumber"/>
              </w:rPr>
            </w:pPr>
            <w:r>
              <w:t>In addition to anti-vilification protections, i</w:t>
            </w:r>
            <w:r w:rsidR="00AD3240">
              <w:t>ntroduce complementary civil and criminal protections against hate-based conduct using a harm-based legal standard.</w:t>
            </w:r>
          </w:p>
        </w:tc>
      </w:tr>
    </w:tbl>
    <w:p w14:paraId="46441570" w14:textId="77777777" w:rsidR="00332459" w:rsidRDefault="00332459" w:rsidP="00332459">
      <w:pPr>
        <w:pStyle w:val="NoSpacing"/>
      </w:pP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332459" w14:paraId="1BE7F009" w14:textId="77777777" w:rsidTr="0069133E">
        <w:trPr>
          <w:trHeight w:val="664"/>
        </w:trPr>
        <w:tc>
          <w:tcPr>
            <w:tcW w:w="8871" w:type="dxa"/>
            <w:tcMar>
              <w:bottom w:w="142" w:type="dxa"/>
            </w:tcMar>
          </w:tcPr>
          <w:p w14:paraId="3CF74F11" w14:textId="3B822F9C" w:rsidR="00332459" w:rsidRDefault="00332459" w:rsidP="0069133E">
            <w:pPr>
              <w:pStyle w:val="Heading3"/>
              <w:outlineLvl w:val="2"/>
            </w:pPr>
            <w:r>
              <w:t>recommendation 8</w:t>
            </w:r>
          </w:p>
          <w:p w14:paraId="76A10FCC" w14:textId="782CCAF5" w:rsidR="00332459" w:rsidRPr="002C7A8F" w:rsidRDefault="00213F15" w:rsidP="0069133E">
            <w:pPr>
              <w:rPr>
                <w:rStyle w:val="PageNumber"/>
              </w:rPr>
            </w:pPr>
            <w:r>
              <w:t xml:space="preserve">Amend section 33(1) of the </w:t>
            </w:r>
            <w:r>
              <w:rPr>
                <w:i/>
                <w:iCs/>
              </w:rPr>
              <w:t xml:space="preserve">Crimes </w:t>
            </w:r>
            <w:r w:rsidR="002C7A8F">
              <w:rPr>
                <w:i/>
                <w:iCs/>
              </w:rPr>
              <w:t xml:space="preserve">(Sentencing) Act 2005 </w:t>
            </w:r>
            <w:r w:rsidR="002C7A8F" w:rsidRPr="002C7A8F">
              <w:t>(ACT)</w:t>
            </w:r>
            <w:r w:rsidR="002C7A8F">
              <w:t xml:space="preserve"> to introduce, as a sentencing consideration, </w:t>
            </w:r>
            <w:r w:rsidR="00724B8E" w:rsidRPr="00724B8E">
              <w:rPr>
                <w:i/>
                <w:iCs/>
              </w:rPr>
              <w:t>‘</w:t>
            </w:r>
            <w:r w:rsidR="002C7A8F" w:rsidRPr="00724B8E">
              <w:rPr>
                <w:i/>
                <w:iCs/>
              </w:rPr>
              <w:t xml:space="preserve">whether the offence was </w:t>
            </w:r>
            <w:r w:rsidR="007E0B58" w:rsidRPr="00724B8E">
              <w:rPr>
                <w:i/>
                <w:iCs/>
              </w:rPr>
              <w:t xml:space="preserve">motivated wholly or </w:t>
            </w:r>
            <w:r w:rsidR="00032729">
              <w:rPr>
                <w:i/>
                <w:iCs/>
              </w:rPr>
              <w:t>partly</w:t>
            </w:r>
            <w:r w:rsidR="007E0B58" w:rsidRPr="00724B8E">
              <w:rPr>
                <w:i/>
                <w:iCs/>
              </w:rPr>
              <w:t xml:space="preserve"> by </w:t>
            </w:r>
            <w:r w:rsidR="00E8244E" w:rsidRPr="00724B8E">
              <w:rPr>
                <w:i/>
                <w:iCs/>
              </w:rPr>
              <w:t xml:space="preserve">hatred </w:t>
            </w:r>
            <w:r w:rsidR="00724B8E" w:rsidRPr="00724B8E">
              <w:rPr>
                <w:i/>
                <w:iCs/>
              </w:rPr>
              <w:t xml:space="preserve">towards </w:t>
            </w:r>
            <w:r w:rsidR="00E8244E" w:rsidRPr="00724B8E">
              <w:rPr>
                <w:i/>
                <w:iCs/>
              </w:rPr>
              <w:t xml:space="preserve">or </w:t>
            </w:r>
            <w:r w:rsidR="007E0B58" w:rsidRPr="00724B8E">
              <w:rPr>
                <w:i/>
                <w:iCs/>
              </w:rPr>
              <w:t>prejudice</w:t>
            </w:r>
            <w:r w:rsidR="00E8244E" w:rsidRPr="00724B8E">
              <w:rPr>
                <w:i/>
                <w:iCs/>
              </w:rPr>
              <w:t xml:space="preserve"> against a group of people </w:t>
            </w:r>
            <w:r w:rsidR="003C2352" w:rsidRPr="00724B8E">
              <w:rPr>
                <w:i/>
                <w:iCs/>
              </w:rPr>
              <w:t xml:space="preserve">to </w:t>
            </w:r>
            <w:r w:rsidR="00724B8E" w:rsidRPr="00724B8E">
              <w:rPr>
                <w:i/>
                <w:iCs/>
              </w:rPr>
              <w:t xml:space="preserve">whom </w:t>
            </w:r>
            <w:r w:rsidR="003C2352" w:rsidRPr="00724B8E">
              <w:rPr>
                <w:i/>
                <w:iCs/>
              </w:rPr>
              <w:t xml:space="preserve">the offender believed the victim belong </w:t>
            </w:r>
            <w:r w:rsidR="00434228" w:rsidRPr="00724B8E">
              <w:rPr>
                <w:i/>
                <w:iCs/>
              </w:rPr>
              <w:t>(</w:t>
            </w:r>
            <w:r w:rsidR="00E8244E" w:rsidRPr="00724B8E">
              <w:rPr>
                <w:i/>
                <w:iCs/>
              </w:rPr>
              <w:t xml:space="preserve">such as </w:t>
            </w:r>
            <w:r w:rsidR="003C2352" w:rsidRPr="00724B8E">
              <w:rPr>
                <w:i/>
                <w:iCs/>
              </w:rPr>
              <w:t>persons of a particular race, religion,</w:t>
            </w:r>
            <w:r w:rsidR="00434228" w:rsidRPr="00724B8E">
              <w:rPr>
                <w:i/>
                <w:iCs/>
              </w:rPr>
              <w:t xml:space="preserve"> sex,</w:t>
            </w:r>
            <w:r w:rsidR="003C2352" w:rsidRPr="00724B8E">
              <w:rPr>
                <w:i/>
                <w:iCs/>
              </w:rPr>
              <w:t xml:space="preserve"> </w:t>
            </w:r>
            <w:r w:rsidR="00434228" w:rsidRPr="00724B8E">
              <w:rPr>
                <w:i/>
                <w:iCs/>
              </w:rPr>
              <w:t>sexual orientation, gender identity, or persons with a particular disability or variations of sex characteristics)</w:t>
            </w:r>
            <w:r w:rsidR="00724B8E" w:rsidRPr="00724B8E">
              <w:rPr>
                <w:i/>
                <w:iCs/>
              </w:rPr>
              <w:t>’</w:t>
            </w:r>
            <w:r w:rsidR="00724B8E">
              <w:rPr>
                <w:i/>
                <w:iCs/>
              </w:rPr>
              <w:t>.</w:t>
            </w:r>
          </w:p>
        </w:tc>
      </w:tr>
    </w:tbl>
    <w:p w14:paraId="5398CF5E" w14:textId="680303AA" w:rsidR="009979B4" w:rsidRDefault="00A8036A" w:rsidP="00D57BC5">
      <w:pPr>
        <w:pStyle w:val="Heading1"/>
      </w:pPr>
      <w:bookmarkStart w:id="27" w:name="_Ref94281055"/>
      <w:bookmarkStart w:id="28" w:name="_Toc94283559"/>
      <w:r>
        <w:t>An ‘e</w:t>
      </w:r>
      <w:r w:rsidR="00D52E82">
        <w:t>quality before the law</w:t>
      </w:r>
      <w:r>
        <w:t>’</w:t>
      </w:r>
      <w:r w:rsidR="00D52E82">
        <w:t xml:space="preserve"> protection</w:t>
      </w:r>
      <w:bookmarkEnd w:id="27"/>
      <w:bookmarkEnd w:id="28"/>
    </w:p>
    <w:p w14:paraId="76612169" w14:textId="18B6E5A9" w:rsidR="004029AB" w:rsidRDefault="005047DF" w:rsidP="0014424D">
      <w:pPr>
        <w:pStyle w:val="Intro"/>
      </w:pPr>
      <w:bookmarkStart w:id="29" w:name="_Hlk90936976"/>
      <w:r>
        <w:t>Everyone is entitled to equality before the law</w:t>
      </w:r>
      <w:r w:rsidR="00B201EC">
        <w:t>, and discriminatory laws should not be used</w:t>
      </w:r>
      <w:r>
        <w:t xml:space="preserve"> a </w:t>
      </w:r>
      <w:r w:rsidR="00B201EC">
        <w:t>defence</w:t>
      </w:r>
      <w:r>
        <w:t xml:space="preserve"> for </w:t>
      </w:r>
      <w:r w:rsidR="00B201EC">
        <w:t xml:space="preserve">further </w:t>
      </w:r>
      <w:r w:rsidR="002D70DA">
        <w:t>discrimination</w:t>
      </w:r>
      <w:r w:rsidR="00AB31F2">
        <w:t xml:space="preserve">. </w:t>
      </w:r>
      <w:r w:rsidR="002D70DA">
        <w:t xml:space="preserve">However, addressing discriminatory laws </w:t>
      </w:r>
      <w:r w:rsidR="004C7562">
        <w:t>in a parliamentary democracy needs careful thought</w:t>
      </w:r>
      <w:r w:rsidR="00AB31F2">
        <w:t xml:space="preserve">. </w:t>
      </w:r>
      <w:r w:rsidR="008265B0">
        <w:t xml:space="preserve">The ACT may </w:t>
      </w:r>
      <w:r w:rsidR="008265B0" w:rsidRPr="0014424D">
        <w:t>wish</w:t>
      </w:r>
      <w:r w:rsidR="008265B0">
        <w:t xml:space="preserve"> to consider a </w:t>
      </w:r>
      <w:r w:rsidR="001718A4">
        <w:t>stronger protection that allows individual to challenge discriminatory laws</w:t>
      </w:r>
      <w:r w:rsidR="0023427C">
        <w:t xml:space="preserve"> or orders</w:t>
      </w:r>
      <w:r w:rsidR="001718A4">
        <w:t>.</w:t>
      </w:r>
    </w:p>
    <w:p w14:paraId="7BE8C235" w14:textId="508B92F7" w:rsidR="00DC7A60" w:rsidRDefault="00DC7A60" w:rsidP="0014424D">
      <w:r>
        <w:t>As discussed in the Discussion Paper,</w:t>
      </w:r>
      <w:r>
        <w:rPr>
          <w:rStyle w:val="FootnoteReference"/>
        </w:rPr>
        <w:footnoteReference w:id="44"/>
      </w:r>
      <w:r>
        <w:t xml:space="preserve"> there may be scenarios where a</w:t>
      </w:r>
      <w:r w:rsidR="00ED62A8">
        <w:t xml:space="preserve"> law, or</w:t>
      </w:r>
      <w:r>
        <w:t xml:space="preserve"> court or tribunal order</w:t>
      </w:r>
      <w:r w:rsidR="00ED62A8">
        <w:t>,</w:t>
      </w:r>
      <w:r>
        <w:t xml:space="preserve"> </w:t>
      </w:r>
      <w:r w:rsidR="00ED62A8">
        <w:t>results in discrimination</w:t>
      </w:r>
      <w:r w:rsidR="009E2A0C">
        <w:t>,</w:t>
      </w:r>
      <w:r w:rsidR="00ED62A8">
        <w:t xml:space="preserve"> and section 30 of the Act </w:t>
      </w:r>
      <w:r w:rsidR="008963A7">
        <w:t xml:space="preserve">provides a defence, allowing a person to rely on that law </w:t>
      </w:r>
      <w:r w:rsidR="00C91CFE">
        <w:t>or order notwithstanding its discriminatory effect</w:t>
      </w:r>
      <w:r>
        <w:t>.</w:t>
      </w:r>
    </w:p>
    <w:p w14:paraId="017402C2" w14:textId="77777777" w:rsidR="009E2A0C" w:rsidRDefault="009E2A0C" w:rsidP="0014424D">
      <w:pPr>
        <w:keepNext/>
      </w:pPr>
      <w:r>
        <w:t>Rather than removing the exception entirely, the ACT may wish to consider a number of reforms to limit its effect, including:</w:t>
      </w:r>
    </w:p>
    <w:p w14:paraId="238C3E0E" w14:textId="77777777" w:rsidR="00797D5D" w:rsidRDefault="00797D5D" w:rsidP="0014424D">
      <w:pPr>
        <w:pStyle w:val="Bullet"/>
      </w:pPr>
      <w:r>
        <w:t xml:space="preserve">introducing a new area of </w:t>
      </w:r>
      <w:r w:rsidRPr="0014424D">
        <w:t>protection</w:t>
      </w:r>
      <w:r>
        <w:t>, namely the administration of Territory laws and programs;</w:t>
      </w:r>
    </w:p>
    <w:p w14:paraId="119DEF6A" w14:textId="15478773" w:rsidR="00182727" w:rsidRDefault="009E2A0C" w:rsidP="0014424D">
      <w:pPr>
        <w:pStyle w:val="Bullet"/>
      </w:pPr>
      <w:r>
        <w:t xml:space="preserve">requiring an audit of </w:t>
      </w:r>
      <w:r w:rsidR="008E73AE">
        <w:t xml:space="preserve">laws, </w:t>
      </w:r>
      <w:r w:rsidR="008E73AE" w:rsidRPr="0014424D">
        <w:t>and</w:t>
      </w:r>
      <w:r w:rsidR="008E73AE">
        <w:t xml:space="preserve"> only applying the section to prescribed laws;</w:t>
      </w:r>
    </w:p>
    <w:p w14:paraId="6E2F2597" w14:textId="66E9338B" w:rsidR="00DC7A60" w:rsidRDefault="00DC7A60" w:rsidP="0014424D">
      <w:pPr>
        <w:pStyle w:val="Bullet"/>
      </w:pPr>
      <w:r>
        <w:t>inserting a</w:t>
      </w:r>
      <w:r w:rsidR="008E73AE">
        <w:t xml:space="preserve">n equality before the law provision, similar to </w:t>
      </w:r>
      <w:r>
        <w:t xml:space="preserve">section 10 of the </w:t>
      </w:r>
      <w:r w:rsidRPr="00182727">
        <w:rPr>
          <w:i/>
          <w:iCs/>
        </w:rPr>
        <w:t xml:space="preserve">Racial Discrimination Act 1975 </w:t>
      </w:r>
      <w:r>
        <w:t>(Cth)</w:t>
      </w:r>
      <w:r w:rsidR="008E73AE">
        <w:t xml:space="preserve">, which allows direct challenges to discriminatory laws </w:t>
      </w:r>
      <w:r w:rsidR="00A65EC8">
        <w:t>or orders</w:t>
      </w:r>
      <w:r w:rsidR="00AB31F2">
        <w:t xml:space="preserve">. </w:t>
      </w:r>
      <w:r>
        <w:t xml:space="preserve">If </w:t>
      </w:r>
      <w:r w:rsidR="00A65EC8">
        <w:t>the latter</w:t>
      </w:r>
      <w:r>
        <w:t xml:space="preserve"> approach is taken, then an exception similar to in section 28 of the </w:t>
      </w:r>
      <w:r w:rsidRPr="00182727">
        <w:rPr>
          <w:i/>
          <w:iCs/>
        </w:rPr>
        <w:t xml:space="preserve">Human Rights Act </w:t>
      </w:r>
      <w:r>
        <w:t xml:space="preserve">(which allows laws to limit human rights to the extent they can be </w:t>
      </w:r>
      <w:r w:rsidR="00182727">
        <w:t>‘</w:t>
      </w:r>
      <w:r>
        <w:t>demonstrably justified in a free and democratic society</w:t>
      </w:r>
      <w:r w:rsidR="00182727">
        <w:t>’</w:t>
      </w:r>
      <w:r>
        <w:t>)</w:t>
      </w:r>
      <w:r>
        <w:rPr>
          <w:rStyle w:val="FootnoteReference"/>
        </w:rPr>
        <w:footnoteReference w:id="45"/>
      </w:r>
      <w:r>
        <w:t xml:space="preserve"> may be needed.</w:t>
      </w:r>
    </w:p>
    <w:p w14:paraId="21C20BFE" w14:textId="7E149171" w:rsidR="00DC7A60" w:rsidRDefault="00D91221" w:rsidP="0014424D">
      <w:r>
        <w:t xml:space="preserve">If an equality before the law provision were introduced into the Act, </w:t>
      </w:r>
      <w:r w:rsidR="004B3A78">
        <w:t xml:space="preserve">the ACT may wish to specify the remedies which could be sought apart from the ability of a court </w:t>
      </w:r>
      <w:r w:rsidR="00DC7A60">
        <w:t>to declare a law invalid</w:t>
      </w:r>
      <w:r w:rsidR="00AB31F2">
        <w:t xml:space="preserve">. </w:t>
      </w:r>
      <w:r w:rsidR="009A7E57">
        <w:t>For example, potential remedies could include:</w:t>
      </w:r>
    </w:p>
    <w:p w14:paraId="2C52C5BF" w14:textId="47ED9248" w:rsidR="00DC7A60" w:rsidRPr="0014424D" w:rsidRDefault="00DC7A60" w:rsidP="0014424D">
      <w:pPr>
        <w:pStyle w:val="Bullet"/>
      </w:pPr>
      <w:r w:rsidRPr="0014424D">
        <w:t>taking no action;</w:t>
      </w:r>
    </w:p>
    <w:p w14:paraId="7E790C3F" w14:textId="6D8A8352" w:rsidR="00DC7A60" w:rsidRPr="0014424D" w:rsidRDefault="00DC7A60" w:rsidP="0014424D">
      <w:pPr>
        <w:pStyle w:val="Bullet"/>
      </w:pPr>
      <w:r w:rsidRPr="0014424D">
        <w:t>declaring a law incompatible with a protected human right and providing legislators with a specified time period to address the incompatibility before the court may take further action, including ordering compensation or other form of remedy;</w:t>
      </w:r>
    </w:p>
    <w:p w14:paraId="04D7C141" w14:textId="75DCDCCB" w:rsidR="00DC7A60" w:rsidRPr="0014424D" w:rsidRDefault="00DC7A60" w:rsidP="0014424D">
      <w:pPr>
        <w:pStyle w:val="Bullet"/>
      </w:pPr>
      <w:r w:rsidRPr="0014424D">
        <w:t>declaring a law invalid or as having no effect to the extent that it discriminates on the basis of a protected attribute;</w:t>
      </w:r>
    </w:p>
    <w:p w14:paraId="641D9189" w14:textId="77777777" w:rsidR="00DC7A60" w:rsidRPr="0014424D" w:rsidRDefault="00DC7A60" w:rsidP="0014424D">
      <w:pPr>
        <w:pStyle w:val="Bullet"/>
      </w:pPr>
      <w:r w:rsidRPr="0014424D">
        <w:t>granting the privilege or benefit which the person claiming the contravention was denied from accessing or otherwise ordering compensation; or</w:t>
      </w:r>
    </w:p>
    <w:p w14:paraId="5D651414" w14:textId="77777777" w:rsidR="00DC7A60" w:rsidRPr="0014424D" w:rsidRDefault="00DC7A60" w:rsidP="0014424D">
      <w:pPr>
        <w:pStyle w:val="Bullet"/>
      </w:pPr>
      <w:r w:rsidRPr="0014424D">
        <w:t>ordering an injunction against the discriminatory conduct.</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DC7A60" w14:paraId="2E1369FF" w14:textId="77777777" w:rsidTr="0069133E">
        <w:trPr>
          <w:trHeight w:val="664"/>
        </w:trPr>
        <w:tc>
          <w:tcPr>
            <w:tcW w:w="8871" w:type="dxa"/>
            <w:tcMar>
              <w:bottom w:w="142" w:type="dxa"/>
            </w:tcMar>
          </w:tcPr>
          <w:bookmarkEnd w:id="29"/>
          <w:p w14:paraId="2A6E6361" w14:textId="3127102A" w:rsidR="00DC7A60" w:rsidRDefault="00DC7A60" w:rsidP="0069133E">
            <w:pPr>
              <w:pStyle w:val="Heading3"/>
              <w:outlineLvl w:val="2"/>
            </w:pPr>
            <w:r>
              <w:t xml:space="preserve">recommendation </w:t>
            </w:r>
            <w:r w:rsidR="005E278C">
              <w:t>9</w:t>
            </w:r>
          </w:p>
          <w:p w14:paraId="67E74372" w14:textId="2474FE58" w:rsidR="00DC7A60" w:rsidRDefault="00797D5D" w:rsidP="0069133E">
            <w:pPr>
              <w:rPr>
                <w:rStyle w:val="PageNumber"/>
              </w:rPr>
            </w:pPr>
            <w:r>
              <w:t xml:space="preserve">Introduce a new area of </w:t>
            </w:r>
            <w:r w:rsidR="00085654">
              <w:t>protection, namely the administration of Territory laws and programs.</w:t>
            </w:r>
          </w:p>
        </w:tc>
      </w:tr>
    </w:tbl>
    <w:p w14:paraId="0AD175A6" w14:textId="77777777" w:rsidR="00085654" w:rsidRDefault="00085654" w:rsidP="002C07BF">
      <w:pPr>
        <w:pStyle w:val="NoSpacing"/>
      </w:pP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085654" w14:paraId="124051D1" w14:textId="77777777" w:rsidTr="0069133E">
        <w:trPr>
          <w:trHeight w:val="664"/>
        </w:trPr>
        <w:tc>
          <w:tcPr>
            <w:tcW w:w="8871" w:type="dxa"/>
            <w:tcMar>
              <w:bottom w:w="142" w:type="dxa"/>
            </w:tcMar>
          </w:tcPr>
          <w:p w14:paraId="209B25DE" w14:textId="35C68305" w:rsidR="00085654" w:rsidRDefault="00085654" w:rsidP="0069133E">
            <w:pPr>
              <w:pStyle w:val="Heading3"/>
              <w:outlineLvl w:val="2"/>
            </w:pPr>
            <w:r>
              <w:t>recommendation 10</w:t>
            </w:r>
          </w:p>
          <w:p w14:paraId="0DDDD4FB" w14:textId="77777777" w:rsidR="00085654" w:rsidRDefault="00085654" w:rsidP="0069133E">
            <w:pPr>
              <w:rPr>
                <w:rStyle w:val="PageNumber"/>
              </w:rPr>
            </w:pPr>
            <w:r>
              <w:t xml:space="preserve">Consider including a new provision, similar to section 10 of the </w:t>
            </w:r>
            <w:r>
              <w:rPr>
                <w:i/>
                <w:iCs/>
              </w:rPr>
              <w:t xml:space="preserve">Racial Discrimination Act 1975 </w:t>
            </w:r>
            <w:r>
              <w:t>(Cth), that would enable an individual to challenge a law, including the administration of a law, that discriminates against them based on a protected attribute.</w:t>
            </w:r>
          </w:p>
        </w:tc>
      </w:tr>
    </w:tbl>
    <w:p w14:paraId="28A17DE7" w14:textId="454B2A15" w:rsidR="00D57BC5" w:rsidRDefault="005E278C" w:rsidP="005E278C">
      <w:pPr>
        <w:pStyle w:val="Heading1"/>
      </w:pPr>
      <w:bookmarkStart w:id="30" w:name="_Toc94283560"/>
      <w:bookmarkStart w:id="31" w:name="_Ref94284758"/>
      <w:r>
        <w:t>Gender inclusive language</w:t>
      </w:r>
      <w:bookmarkEnd w:id="30"/>
      <w:bookmarkEnd w:id="31"/>
    </w:p>
    <w:p w14:paraId="07BF8772" w14:textId="6D89D9DB" w:rsidR="00A348B9" w:rsidRDefault="00A348B9" w:rsidP="00A348B9">
      <w:r>
        <w:t>There are a number of provisions in the Act which have the potential to discriminate against transgender and gender diverse people</w:t>
      </w:r>
      <w:r w:rsidR="00AB31F2">
        <w:t xml:space="preserve">. </w:t>
      </w:r>
      <w:r w:rsidR="001F02D0">
        <w:t>These include:</w:t>
      </w:r>
    </w:p>
    <w:p w14:paraId="232C5796" w14:textId="71B341B6" w:rsidR="001E7344" w:rsidRPr="00A348B9" w:rsidRDefault="001E7344" w:rsidP="001E7344">
      <w:pPr>
        <w:pStyle w:val="Bullet"/>
      </w:pPr>
      <w:r>
        <w:t xml:space="preserve">the </w:t>
      </w:r>
      <w:r w:rsidR="008569AF">
        <w:t>Act sometimes</w:t>
      </w:r>
      <w:r>
        <w:t xml:space="preserve"> uses binary</w:t>
      </w:r>
      <w:r w:rsidR="008569AF">
        <w:t xml:space="preserve"> gendered</w:t>
      </w:r>
      <w:r>
        <w:t xml:space="preserve"> language, assuming only two sexes</w:t>
      </w:r>
      <w:r w:rsidR="00AB31F2">
        <w:t xml:space="preserve">. </w:t>
      </w:r>
      <w:r>
        <w:t xml:space="preserve">For example, </w:t>
      </w:r>
      <w:r w:rsidR="0025010C">
        <w:t>sections</w:t>
      </w:r>
      <w:r w:rsidR="00EF020F">
        <w:t xml:space="preserve"> 34(1)</w:t>
      </w:r>
      <w:r w:rsidR="00B05D9A">
        <w:t>,</w:t>
      </w:r>
      <w:r w:rsidR="0025010C">
        <w:t xml:space="preserve"> 36</w:t>
      </w:r>
      <w:r w:rsidR="00B05D9A">
        <w:t xml:space="preserve"> or 40</w:t>
      </w:r>
      <w:r w:rsidR="00EF020F">
        <w:t xml:space="preserve"> refers to a person of </w:t>
      </w:r>
      <w:r w:rsidR="00B05D9A">
        <w:t xml:space="preserve">the </w:t>
      </w:r>
      <w:r w:rsidR="00EF020F">
        <w:t>‘opposite’ sex to the relevant person</w:t>
      </w:r>
      <w:r w:rsidR="009F380F">
        <w:t xml:space="preserve">, when the word ‘different’ </w:t>
      </w:r>
      <w:r w:rsidR="00B05D9A">
        <w:t xml:space="preserve">or ‘particular’ </w:t>
      </w:r>
      <w:r w:rsidR="009F380F">
        <w:t>could have been used to equal effect</w:t>
      </w:r>
      <w:r w:rsidR="00B05D9A">
        <w:t xml:space="preserve"> in those places</w:t>
      </w:r>
      <w:r w:rsidR="00AC1AC7">
        <w:t>;</w:t>
      </w:r>
    </w:p>
    <w:p w14:paraId="75AB31D9" w14:textId="361B80CF" w:rsidR="00D729D8" w:rsidRDefault="007D4E56" w:rsidP="00D729D8">
      <w:pPr>
        <w:pStyle w:val="Bullet"/>
      </w:pPr>
      <w:r>
        <w:t>t</w:t>
      </w:r>
      <w:r w:rsidR="001F02D0">
        <w:t xml:space="preserve">he ground of pregnancy and potential pregnancy </w:t>
      </w:r>
      <w:r>
        <w:t>could apply to all people who are capable of bearing of children,</w:t>
      </w:r>
      <w:r w:rsidR="00AC1AC7">
        <w:t xml:space="preserve"> who</w:t>
      </w:r>
      <w:r>
        <w:t xml:space="preserve"> </w:t>
      </w:r>
      <w:r w:rsidR="00D729D8">
        <w:t>desire to become pregnant or are likely to become pregnant</w:t>
      </w:r>
      <w:r w:rsidR="00AC1AC7">
        <w:t>;</w:t>
      </w:r>
    </w:p>
    <w:p w14:paraId="508A9657" w14:textId="03758600" w:rsidR="0063377C" w:rsidRDefault="0063377C" w:rsidP="00D729D8">
      <w:pPr>
        <w:pStyle w:val="Bullet"/>
      </w:pPr>
      <w:r>
        <w:t xml:space="preserve">the </w:t>
      </w:r>
      <w:r w:rsidR="00B12E98">
        <w:t xml:space="preserve">exemption </w:t>
      </w:r>
      <w:r w:rsidR="0083435D">
        <w:t xml:space="preserve">in section 37 </w:t>
      </w:r>
      <w:r w:rsidR="00B12E98">
        <w:t xml:space="preserve">permitting special measures </w:t>
      </w:r>
      <w:r w:rsidR="00AC1AC7">
        <w:t xml:space="preserve">for people in relation to pregnancy, childbirth or breastfeeding could </w:t>
      </w:r>
      <w:r w:rsidR="0083435D">
        <w:t xml:space="preserve">be extended to all people </w:t>
      </w:r>
      <w:r w:rsidR="008569AF">
        <w:t>whose bodies are inherently capable of carrying, giving birth or feeding children.</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E1375E" w14:paraId="4E77A601" w14:textId="77777777" w:rsidTr="0069133E">
        <w:trPr>
          <w:trHeight w:val="664"/>
        </w:trPr>
        <w:tc>
          <w:tcPr>
            <w:tcW w:w="8871" w:type="dxa"/>
            <w:tcMar>
              <w:bottom w:w="142" w:type="dxa"/>
            </w:tcMar>
          </w:tcPr>
          <w:p w14:paraId="77D38D6F" w14:textId="7096E544" w:rsidR="00E1375E" w:rsidRDefault="00E1375E" w:rsidP="0069133E">
            <w:pPr>
              <w:pStyle w:val="Heading3"/>
              <w:outlineLvl w:val="2"/>
            </w:pPr>
            <w:r>
              <w:t xml:space="preserve">recommendation </w:t>
            </w:r>
            <w:r w:rsidR="002C07BF">
              <w:t>11</w:t>
            </w:r>
          </w:p>
          <w:p w14:paraId="4BAC9195" w14:textId="67E66473" w:rsidR="00DE22DE" w:rsidRDefault="00DE22DE" w:rsidP="00A55C44">
            <w:r>
              <w:rPr>
                <w:rStyle w:val="PageNumber"/>
              </w:rPr>
              <w:t>Review the Act and update non-inclusive</w:t>
            </w:r>
            <w:r w:rsidR="00AF7C41">
              <w:rPr>
                <w:rStyle w:val="PageNumber"/>
              </w:rPr>
              <w:t xml:space="preserve"> or binary</w:t>
            </w:r>
            <w:r>
              <w:rPr>
                <w:rStyle w:val="PageNumber"/>
              </w:rPr>
              <w:t xml:space="preserve"> gendered language</w:t>
            </w:r>
            <w:r w:rsidR="002C07BF">
              <w:rPr>
                <w:rStyle w:val="PageNumber"/>
              </w:rPr>
              <w:t>,</w:t>
            </w:r>
            <w:r>
              <w:rPr>
                <w:rStyle w:val="PageNumber"/>
              </w:rPr>
              <w:t xml:space="preserve"> where relevant.</w:t>
            </w:r>
          </w:p>
          <w:p w14:paraId="09E5C307" w14:textId="679668C5" w:rsidR="00785FF4" w:rsidRDefault="00E1375E" w:rsidP="00A55C44">
            <w:pPr>
              <w:rPr>
                <w:rStyle w:val="PageNumber"/>
              </w:rPr>
            </w:pPr>
            <w:r>
              <w:t xml:space="preserve">Ensure the pregnancy, childbirth and breastfeeding protections </w:t>
            </w:r>
            <w:r w:rsidR="00A55C44">
              <w:t>protect</w:t>
            </w:r>
            <w:r>
              <w:t xml:space="preserve"> all person</w:t>
            </w:r>
            <w:r w:rsidR="002F5FE4">
              <w:t xml:space="preserve">s </w:t>
            </w:r>
            <w:r w:rsidR="005C5EF6">
              <w:t>whose bodies</w:t>
            </w:r>
            <w:r w:rsidR="002F5FE4">
              <w:t xml:space="preserve"> are </w:t>
            </w:r>
            <w:r w:rsidR="00AF7C41">
              <w:t xml:space="preserve">inherently </w:t>
            </w:r>
            <w:r w:rsidR="002F5FE4">
              <w:t xml:space="preserve">capable of </w:t>
            </w:r>
            <w:r w:rsidR="005C5EF6">
              <w:t>carrying, giving birth</w:t>
            </w:r>
            <w:r w:rsidR="002F5FE4">
              <w:t xml:space="preserve"> or feeding children.</w:t>
            </w:r>
          </w:p>
        </w:tc>
      </w:tr>
    </w:tbl>
    <w:p w14:paraId="1633F5A8" w14:textId="28DAF196" w:rsidR="00025E9D" w:rsidRDefault="00025E9D" w:rsidP="00025E9D">
      <w:pPr>
        <w:pStyle w:val="Heading1"/>
      </w:pPr>
      <w:bookmarkStart w:id="32" w:name="_Toc94283561"/>
      <w:r>
        <w:t xml:space="preserve">An </w:t>
      </w:r>
      <w:r w:rsidR="00A8036A">
        <w:t>E</w:t>
      </w:r>
      <w:r>
        <w:t xml:space="preserve">quality </w:t>
      </w:r>
      <w:r w:rsidR="00A8036A">
        <w:t>A</w:t>
      </w:r>
      <w:r>
        <w:t xml:space="preserve">ct for the </w:t>
      </w:r>
      <w:r w:rsidR="00A8036A">
        <w:t>E</w:t>
      </w:r>
      <w:r>
        <w:t xml:space="preserve">quality </w:t>
      </w:r>
      <w:r w:rsidR="00A8036A">
        <w:t>C</w:t>
      </w:r>
      <w:r>
        <w:t>apital</w:t>
      </w:r>
      <w:bookmarkEnd w:id="32"/>
    </w:p>
    <w:p w14:paraId="63917E49" w14:textId="0AFF9ED3" w:rsidR="00A94D1F" w:rsidRDefault="00A94D1F" w:rsidP="00A94D1F">
      <w:pPr>
        <w:pStyle w:val="Intro"/>
      </w:pPr>
      <w:r>
        <w:t>An Equality Capital needs an Equality Act</w:t>
      </w:r>
      <w:r w:rsidR="00AB31F2">
        <w:t xml:space="preserve">. </w:t>
      </w:r>
      <w:r w:rsidR="002F45F7">
        <w:t xml:space="preserve">To demonstrate the intention and spirit behind reforms to improve the Act, </w:t>
      </w:r>
      <w:r w:rsidR="00CA0EA1">
        <w:t>the Act should be renamed the Equality Act.</w:t>
      </w:r>
    </w:p>
    <w:p w14:paraId="2DACC895" w14:textId="14847083" w:rsidR="00920969" w:rsidRDefault="00CA0EA1" w:rsidP="00920969">
      <w:r>
        <w:t xml:space="preserve">The name of a statute </w:t>
      </w:r>
      <w:r w:rsidR="00E44806">
        <w:t>makes</w:t>
      </w:r>
      <w:r>
        <w:t xml:space="preserve"> an important symbolic </w:t>
      </w:r>
      <w:r w:rsidR="003344AE">
        <w:t>statement of its intention and purpose</w:t>
      </w:r>
      <w:r w:rsidR="00AB31F2">
        <w:t xml:space="preserve">. </w:t>
      </w:r>
      <w:r w:rsidR="00E44806">
        <w:t>Currently, the Act is defined by the negative conduct it serves to remedy: discrimination</w:t>
      </w:r>
      <w:r w:rsidR="00AB31F2">
        <w:t xml:space="preserve">. </w:t>
      </w:r>
      <w:r w:rsidR="003344AE">
        <w:t>But w</w:t>
      </w:r>
      <w:r w:rsidR="00E44806">
        <w:t xml:space="preserve">ith the adoption of a positive duty, </w:t>
      </w:r>
      <w:r w:rsidR="004A77A3">
        <w:t xml:space="preserve">and other reforms to modernise and improve the Act, </w:t>
      </w:r>
      <w:r w:rsidR="003344AE">
        <w:t xml:space="preserve">the Act should be renamed to more clearly state </w:t>
      </w:r>
      <w:r w:rsidR="00920969">
        <w:t>the purpose it is seeking to achieve: namely, equality for all</w:t>
      </w:r>
      <w:r w:rsidR="00AB31F2">
        <w:t xml:space="preserve">. </w:t>
      </w:r>
      <w:r w:rsidR="00920969">
        <w:t>That is why, it is time to re-name the Act: the Equality Act.</w:t>
      </w:r>
      <w:r w:rsidR="004A77A3">
        <w:t xml:space="preserve"> </w:t>
      </w:r>
    </w:p>
    <w:tbl>
      <w:tblPr>
        <w:tblStyle w:val="TableGridLight"/>
        <w:tblW w:w="0" w:type="auto"/>
        <w:tblBorders>
          <w:top w:val="single" w:sz="12" w:space="0" w:color="00A0E6" w:themeColor="accent1"/>
          <w:left w:val="single" w:sz="12" w:space="0" w:color="00A0E6" w:themeColor="accent1"/>
          <w:bottom w:val="single" w:sz="12" w:space="0" w:color="00A0E6" w:themeColor="accent1"/>
          <w:right w:val="single" w:sz="12" w:space="0" w:color="00A0E6" w:themeColor="accent1"/>
          <w:insideH w:val="single" w:sz="12" w:space="0" w:color="00A0E6" w:themeColor="accent1"/>
          <w:insideV w:val="single" w:sz="12" w:space="0" w:color="00A0E6" w:themeColor="accent1"/>
        </w:tblBorders>
        <w:tblCellMar>
          <w:left w:w="340" w:type="dxa"/>
          <w:right w:w="340" w:type="dxa"/>
        </w:tblCellMar>
        <w:tblLook w:val="0600" w:firstRow="0" w:lastRow="0" w:firstColumn="0" w:lastColumn="0" w:noHBand="1" w:noVBand="1"/>
      </w:tblPr>
      <w:tblGrid>
        <w:gridCol w:w="8871"/>
      </w:tblGrid>
      <w:tr w:rsidR="00920969" w14:paraId="491B34B0" w14:textId="77777777" w:rsidTr="0069133E">
        <w:trPr>
          <w:trHeight w:val="664"/>
        </w:trPr>
        <w:tc>
          <w:tcPr>
            <w:tcW w:w="8871" w:type="dxa"/>
            <w:tcMar>
              <w:bottom w:w="142" w:type="dxa"/>
            </w:tcMar>
          </w:tcPr>
          <w:p w14:paraId="5897B6A6" w14:textId="3974A42F" w:rsidR="00920969" w:rsidRDefault="00920969" w:rsidP="0069133E">
            <w:pPr>
              <w:pStyle w:val="Heading3"/>
              <w:outlineLvl w:val="2"/>
            </w:pPr>
            <w:r>
              <w:t>recommendation 1</w:t>
            </w:r>
            <w:r w:rsidR="002C07BF">
              <w:t>2</w:t>
            </w:r>
          </w:p>
          <w:p w14:paraId="6B12BE4B" w14:textId="3285802F" w:rsidR="00920969" w:rsidRDefault="00920969" w:rsidP="0069133E">
            <w:pPr>
              <w:rPr>
                <w:rStyle w:val="PageNumber"/>
              </w:rPr>
            </w:pPr>
            <w:r>
              <w:rPr>
                <w:rStyle w:val="PageNumber"/>
              </w:rPr>
              <w:t xml:space="preserve">As a strong statement </w:t>
            </w:r>
            <w:r w:rsidR="0035755E">
              <w:rPr>
                <w:rStyle w:val="PageNumber"/>
              </w:rPr>
              <w:t xml:space="preserve">of the Act’s intention and purpose, rename the Act as the </w:t>
            </w:r>
            <w:r w:rsidR="0035755E" w:rsidRPr="0035755E">
              <w:rPr>
                <w:rStyle w:val="PageNumber"/>
                <w:i/>
                <w:iCs/>
              </w:rPr>
              <w:t>Equality Act</w:t>
            </w:r>
            <w:r w:rsidR="0035755E">
              <w:rPr>
                <w:rStyle w:val="PageNumber"/>
              </w:rPr>
              <w:t>.</w:t>
            </w:r>
          </w:p>
        </w:tc>
      </w:tr>
    </w:tbl>
    <w:p w14:paraId="6187B161" w14:textId="77777777" w:rsidR="00920969" w:rsidRPr="00A94D1F" w:rsidRDefault="00920969" w:rsidP="00CA0EA1"/>
    <w:p w14:paraId="39585E81" w14:textId="77777777" w:rsidR="001F1114" w:rsidRDefault="001F1114" w:rsidP="00E94F44">
      <w:pPr>
        <w:rPr>
          <w:b/>
        </w:rPr>
        <w:sectPr w:rsidR="001F1114" w:rsidSect="00735275">
          <w:pgSz w:w="11907" w:h="16840" w:code="9"/>
          <w:pgMar w:top="1644" w:right="1021" w:bottom="1644" w:left="1985" w:header="709" w:footer="232" w:gutter="0"/>
          <w:cols w:space="708"/>
          <w:docGrid w:linePitch="360"/>
        </w:sectPr>
      </w:pPr>
    </w:p>
    <w:p w14:paraId="0000856C" w14:textId="638BA793" w:rsidR="00A41883" w:rsidRDefault="00DA3A57" w:rsidP="00A41883">
      <w:pPr>
        <w:pStyle w:val="Section"/>
      </w:pPr>
      <w:bookmarkStart w:id="33" w:name="_Toc86153679"/>
      <w:bookmarkStart w:id="34" w:name="_Toc94283562"/>
      <w:r>
        <w:t xml:space="preserve">Schedule: </w:t>
      </w:r>
      <w:r w:rsidR="00A41883">
        <w:t>Detailed response to discussion paper questions</w:t>
      </w:r>
      <w:bookmarkEnd w:id="33"/>
      <w:bookmarkEnd w:id="34"/>
    </w:p>
    <w:p w14:paraId="2F0B3296" w14:textId="35490CA6" w:rsidR="00A41883" w:rsidRDefault="00A41883" w:rsidP="00A41883">
      <w:r>
        <w:t>This section provides our response to key discussion paper questions which relate to our areas of expertise</w:t>
      </w:r>
      <w:r w:rsidR="00AB31F2">
        <w:t xml:space="preserve">. </w:t>
      </w:r>
      <w:r>
        <w:t>We would be happy to provide further information regarding any of these issues, or issues which are not covered in this submission.</w:t>
      </w:r>
    </w:p>
    <w:tbl>
      <w:tblPr>
        <w:tblStyle w:val="EQAUTable"/>
        <w:tblW w:w="0" w:type="auto"/>
        <w:tblBorders>
          <w:top w:val="single" w:sz="4" w:space="0" w:color="auto"/>
        </w:tblBorders>
        <w:tblLook w:val="04A0" w:firstRow="1" w:lastRow="0" w:firstColumn="1" w:lastColumn="0" w:noHBand="0" w:noVBand="1"/>
      </w:tblPr>
      <w:tblGrid>
        <w:gridCol w:w="936"/>
        <w:gridCol w:w="5842"/>
        <w:gridCol w:w="6764"/>
      </w:tblGrid>
      <w:tr w:rsidR="00A41883" w14:paraId="4B373DA1" w14:textId="77777777" w:rsidTr="0069133E">
        <w:trPr>
          <w:cnfStyle w:val="100000000000" w:firstRow="1" w:lastRow="0" w:firstColumn="0" w:lastColumn="0" w:oddVBand="0" w:evenVBand="0" w:oddHBand="0" w:evenHBand="0" w:firstRowFirstColumn="0" w:firstRowLastColumn="0" w:lastRowFirstColumn="0" w:lastRowLastColumn="0"/>
          <w:tblHeader/>
        </w:trPr>
        <w:tc>
          <w:tcPr>
            <w:tcW w:w="704" w:type="dxa"/>
            <w:tcBorders>
              <w:top w:val="none" w:sz="0" w:space="0" w:color="auto"/>
              <w:left w:val="none" w:sz="0" w:space="0" w:color="auto"/>
              <w:bottom w:val="none" w:sz="0" w:space="0" w:color="auto"/>
              <w:right w:val="none" w:sz="0" w:space="0" w:color="auto"/>
            </w:tcBorders>
          </w:tcPr>
          <w:p w14:paraId="5BA080BB" w14:textId="77777777" w:rsidR="00A41883" w:rsidRDefault="00A41883" w:rsidP="0069133E">
            <w:pPr>
              <w:pStyle w:val="Tableheading"/>
            </w:pPr>
            <w:r>
              <w:t>No.</w:t>
            </w:r>
          </w:p>
        </w:tc>
        <w:tc>
          <w:tcPr>
            <w:tcW w:w="5954" w:type="dxa"/>
            <w:tcBorders>
              <w:top w:val="none" w:sz="0" w:space="0" w:color="auto"/>
              <w:left w:val="none" w:sz="0" w:space="0" w:color="auto"/>
              <w:bottom w:val="none" w:sz="0" w:space="0" w:color="auto"/>
              <w:right w:val="none" w:sz="0" w:space="0" w:color="auto"/>
            </w:tcBorders>
          </w:tcPr>
          <w:p w14:paraId="37775E33" w14:textId="77777777" w:rsidR="00A41883" w:rsidRDefault="00A41883" w:rsidP="0069133E">
            <w:pPr>
              <w:pStyle w:val="Tableheading"/>
            </w:pPr>
            <w:r>
              <w:t>Question</w:t>
            </w:r>
          </w:p>
        </w:tc>
        <w:tc>
          <w:tcPr>
            <w:tcW w:w="6884" w:type="dxa"/>
            <w:tcBorders>
              <w:top w:val="none" w:sz="0" w:space="0" w:color="auto"/>
              <w:left w:val="none" w:sz="0" w:space="0" w:color="auto"/>
              <w:bottom w:val="none" w:sz="0" w:space="0" w:color="auto"/>
              <w:right w:val="none" w:sz="0" w:space="0" w:color="auto"/>
            </w:tcBorders>
          </w:tcPr>
          <w:p w14:paraId="7965A350" w14:textId="77777777" w:rsidR="00A41883" w:rsidRDefault="00A41883" w:rsidP="0069133E">
            <w:pPr>
              <w:pStyle w:val="Tableheading"/>
            </w:pPr>
            <w:r>
              <w:t>Response</w:t>
            </w:r>
          </w:p>
        </w:tc>
      </w:tr>
      <w:tr w:rsidR="00A41883" w14:paraId="50E07E99" w14:textId="77777777" w:rsidTr="0069133E">
        <w:tc>
          <w:tcPr>
            <w:tcW w:w="13542" w:type="dxa"/>
            <w:gridSpan w:val="3"/>
            <w:shd w:val="clear" w:color="auto" w:fill="C7EDFF" w:themeFill="accent1" w:themeFillTint="33"/>
          </w:tcPr>
          <w:p w14:paraId="21443636" w14:textId="77777777" w:rsidR="00A41883" w:rsidRDefault="00A41883" w:rsidP="0069133E">
            <w:pPr>
              <w:pStyle w:val="Intro"/>
              <w:keepNext/>
            </w:pPr>
            <w:r>
              <w:t>Coverage of the Discrimination Act</w:t>
            </w:r>
          </w:p>
        </w:tc>
      </w:tr>
      <w:tr w:rsidR="00A41883" w14:paraId="3B3FE25F" w14:textId="77777777" w:rsidTr="0069133E">
        <w:tc>
          <w:tcPr>
            <w:tcW w:w="704" w:type="dxa"/>
          </w:tcPr>
          <w:p w14:paraId="4F658A46" w14:textId="77777777" w:rsidR="00A41883" w:rsidRPr="004B146D" w:rsidRDefault="00A41883" w:rsidP="00A41883">
            <w:pPr>
              <w:pStyle w:val="Tabletext"/>
              <w:numPr>
                <w:ilvl w:val="0"/>
                <w:numId w:val="20"/>
              </w:numPr>
            </w:pPr>
            <w:r>
              <w:t xml:space="preserve"> </w:t>
            </w:r>
          </w:p>
        </w:tc>
        <w:tc>
          <w:tcPr>
            <w:tcW w:w="5954" w:type="dxa"/>
          </w:tcPr>
          <w:p w14:paraId="05767F58" w14:textId="77777777" w:rsidR="00A41883" w:rsidRDefault="00A41883" w:rsidP="008A2852">
            <w:pPr>
              <w:pStyle w:val="Tabletext"/>
            </w:pPr>
            <w:r w:rsidRPr="00EC7678">
              <w:t>What concerns or considerations would be required in extending coverage to areas of public life including organised sport, competitions open to the public and government functions?</w:t>
            </w:r>
            <w:r w:rsidRPr="00EC7678">
              <w:rPr>
                <w:b/>
                <w:bCs/>
              </w:rPr>
              <w:t xml:space="preserve"> </w:t>
            </w:r>
          </w:p>
        </w:tc>
        <w:tc>
          <w:tcPr>
            <w:tcW w:w="6884" w:type="dxa"/>
          </w:tcPr>
          <w:p w14:paraId="2DFFF344" w14:textId="77777777" w:rsidR="00A41883" w:rsidRDefault="00A41883" w:rsidP="008A2852">
            <w:pPr>
              <w:pStyle w:val="Tabletext"/>
            </w:pPr>
            <w:r>
              <w:t>Equality Australia supports extending the protected areas under the Act to include other areas of public life, including organised sport, competitions open to the public and government functions.</w:t>
            </w:r>
          </w:p>
          <w:p w14:paraId="4F243631" w14:textId="4A87F061" w:rsidR="00A41883" w:rsidRDefault="00A41883" w:rsidP="008A2852">
            <w:pPr>
              <w:pStyle w:val="Tabletext"/>
            </w:pPr>
            <w:r>
              <w:t xml:space="preserve">In respect of government functions, we would support amending the Act so that the performance of all government functions, including services, is explicitly covered, similar to section 26 of the </w:t>
            </w:r>
            <w:r>
              <w:rPr>
                <w:i/>
                <w:iCs/>
              </w:rPr>
              <w:t xml:space="preserve">Sex Discrimination Act 1984 </w:t>
            </w:r>
            <w:r>
              <w:t>(Cth)</w:t>
            </w:r>
            <w:r w:rsidR="00AB31F2">
              <w:t xml:space="preserve">. </w:t>
            </w:r>
            <w:r>
              <w:t>As discussed in further detail in the Discussion Paper,</w:t>
            </w:r>
            <w:r>
              <w:rPr>
                <w:rStyle w:val="FootnoteReference"/>
              </w:rPr>
              <w:footnoteReference w:id="46"/>
            </w:r>
            <w:r>
              <w:t xml:space="preserve"> this would remove doubt over whether exercises of governmental power or the administration of government programs are covered by the Act, given there is often a difficulty in characterising the ‘service’ in question.</w:t>
            </w:r>
            <w:r>
              <w:rPr>
                <w:rStyle w:val="FootnoteReference"/>
              </w:rPr>
              <w:footnoteReference w:id="47"/>
            </w:r>
          </w:p>
        </w:tc>
      </w:tr>
      <w:tr w:rsidR="00A41883" w14:paraId="4B8A21D6" w14:textId="77777777" w:rsidTr="0069133E">
        <w:tc>
          <w:tcPr>
            <w:tcW w:w="704" w:type="dxa"/>
          </w:tcPr>
          <w:p w14:paraId="1CDC37EC" w14:textId="77777777" w:rsidR="00A41883" w:rsidRDefault="00A41883" w:rsidP="00A41883">
            <w:pPr>
              <w:pStyle w:val="Tabletext"/>
              <w:numPr>
                <w:ilvl w:val="0"/>
                <w:numId w:val="20"/>
              </w:numPr>
            </w:pPr>
          </w:p>
        </w:tc>
        <w:tc>
          <w:tcPr>
            <w:tcW w:w="5954" w:type="dxa"/>
          </w:tcPr>
          <w:p w14:paraId="475A114E" w14:textId="77777777" w:rsidR="00A41883" w:rsidRDefault="00A41883" w:rsidP="008A2852">
            <w:pPr>
              <w:pStyle w:val="Tabletext"/>
            </w:pPr>
            <w:r w:rsidRPr="00773677">
              <w:t>What areas of private conduct should not be covered by discrimination law? How would these areas be defined</w:t>
            </w:r>
            <w:r>
              <w:t>?</w:t>
            </w:r>
          </w:p>
        </w:tc>
        <w:tc>
          <w:tcPr>
            <w:tcW w:w="6884" w:type="dxa"/>
          </w:tcPr>
          <w:p w14:paraId="6556BC7E" w14:textId="612C52A4" w:rsidR="00A41883" w:rsidRDefault="00A41883" w:rsidP="008A2852">
            <w:pPr>
              <w:pStyle w:val="Tabletext"/>
            </w:pPr>
            <w:r>
              <w:t>It is important to consider each protected attribute on its own, as they raise different issues depending on the area protected</w:t>
            </w:r>
            <w:r w:rsidR="00AB31F2">
              <w:t xml:space="preserve">. </w:t>
            </w:r>
            <w:r>
              <w:t>In principle, discrimination laws should regulate areas of public life, leaving areas of private life unregulated</w:t>
            </w:r>
            <w:r w:rsidR="00AB31F2">
              <w:t xml:space="preserve">. </w:t>
            </w:r>
            <w:r>
              <w:t>However, as discussed in the Discussion Paper,</w:t>
            </w:r>
            <w:r>
              <w:rPr>
                <w:rStyle w:val="FootnoteReference"/>
              </w:rPr>
              <w:footnoteReference w:id="48"/>
            </w:r>
            <w:r>
              <w:t xml:space="preserve"> it is important to ensure that it is clear what is meant by </w:t>
            </w:r>
            <w:r w:rsidR="00E85F4B">
              <w:t>‘</w:t>
            </w:r>
            <w:r>
              <w:t>public life</w:t>
            </w:r>
            <w:r w:rsidR="00E85F4B">
              <w:t>’</w:t>
            </w:r>
            <w:r>
              <w:t xml:space="preserve"> and what is excluded as </w:t>
            </w:r>
            <w:r w:rsidR="00E85F4B">
              <w:t>‘</w:t>
            </w:r>
            <w:r>
              <w:t>private conduct</w:t>
            </w:r>
            <w:r w:rsidR="00E85F4B">
              <w:t>’</w:t>
            </w:r>
            <w:r>
              <w:t>.</w:t>
            </w:r>
          </w:p>
        </w:tc>
      </w:tr>
      <w:tr w:rsidR="00A41883" w14:paraId="103B35E1" w14:textId="77777777" w:rsidTr="0069133E">
        <w:tc>
          <w:tcPr>
            <w:tcW w:w="13542" w:type="dxa"/>
            <w:gridSpan w:val="3"/>
            <w:shd w:val="clear" w:color="auto" w:fill="C7EDFF" w:themeFill="accent1" w:themeFillTint="33"/>
          </w:tcPr>
          <w:p w14:paraId="0D40F672" w14:textId="650A8BB5" w:rsidR="00A41883" w:rsidRDefault="00A41883" w:rsidP="0069133E">
            <w:pPr>
              <w:pStyle w:val="Intro"/>
              <w:keepNext/>
            </w:pPr>
            <w:r>
              <w:t xml:space="preserve">Reforming </w:t>
            </w:r>
            <w:r w:rsidR="00E85F4B">
              <w:t>e</w:t>
            </w:r>
            <w:r>
              <w:t xml:space="preserve">xceptions to discrimination </w:t>
            </w:r>
            <w:r w:rsidR="00FC6995">
              <w:t>l</w:t>
            </w:r>
            <w:r>
              <w:t>aw</w:t>
            </w:r>
          </w:p>
        </w:tc>
      </w:tr>
      <w:tr w:rsidR="00A41883" w14:paraId="35E62162" w14:textId="77777777" w:rsidTr="0069133E">
        <w:tc>
          <w:tcPr>
            <w:tcW w:w="704" w:type="dxa"/>
          </w:tcPr>
          <w:p w14:paraId="4A8EB0A2" w14:textId="77777777" w:rsidR="00A41883" w:rsidRDefault="00A41883" w:rsidP="00A41883">
            <w:pPr>
              <w:pStyle w:val="Tabletext"/>
              <w:numPr>
                <w:ilvl w:val="0"/>
                <w:numId w:val="20"/>
              </w:numPr>
            </w:pPr>
          </w:p>
        </w:tc>
        <w:tc>
          <w:tcPr>
            <w:tcW w:w="5954" w:type="dxa"/>
          </w:tcPr>
          <w:p w14:paraId="5F1B2405" w14:textId="77777777" w:rsidR="00A41883" w:rsidRDefault="00A41883" w:rsidP="008A2852">
            <w:pPr>
              <w:pStyle w:val="Tabletext"/>
            </w:pPr>
            <w:r w:rsidRPr="00773677">
              <w:t xml:space="preserve">Should the exceptions in the Discrimination Act: </w:t>
            </w:r>
          </w:p>
          <w:p w14:paraId="2F41C69C" w14:textId="77777777" w:rsidR="00A41883" w:rsidRDefault="00A41883" w:rsidP="008A2852">
            <w:pPr>
              <w:pStyle w:val="Tabletext"/>
              <w:numPr>
                <w:ilvl w:val="0"/>
                <w:numId w:val="22"/>
              </w:numPr>
            </w:pPr>
            <w:r w:rsidRPr="00773677">
              <w:t>be removed and replaced with a general limitation / single justification defence that applies where discriminatory conduct is reasonably justifiable, or</w:t>
            </w:r>
          </w:p>
          <w:p w14:paraId="096D0CA4" w14:textId="77777777" w:rsidR="00A41883" w:rsidRDefault="00A41883" w:rsidP="008A2852">
            <w:pPr>
              <w:pStyle w:val="Tabletext"/>
              <w:numPr>
                <w:ilvl w:val="0"/>
                <w:numId w:val="22"/>
              </w:numPr>
            </w:pPr>
            <w:r w:rsidRPr="00773677">
              <w:t xml:space="preserve">be refined to make them simpler, stronger, and better aligned with our human rights framework? </w:t>
            </w:r>
          </w:p>
        </w:tc>
        <w:tc>
          <w:tcPr>
            <w:tcW w:w="6884" w:type="dxa"/>
          </w:tcPr>
          <w:p w14:paraId="6BBE53E0" w14:textId="3FAB788B" w:rsidR="00CA3968" w:rsidRDefault="008A2852" w:rsidP="008A2852">
            <w:pPr>
              <w:pStyle w:val="Tabletext"/>
            </w:pPr>
            <w:r>
              <w:t>W</w:t>
            </w:r>
            <w:r w:rsidR="00A41883">
              <w:t xml:space="preserve">e would not be inclined to support replacing the exceptions in the Act with a single justification defence, particularly </w:t>
            </w:r>
            <w:r w:rsidR="00CA3968">
              <w:t>given is it likely to</w:t>
            </w:r>
            <w:r w:rsidR="00A41883">
              <w:t xml:space="preserve"> expand the right to discriminate</w:t>
            </w:r>
            <w:r w:rsidR="00615797">
              <w:t xml:space="preserve"> and will be legally uncertain</w:t>
            </w:r>
            <w:r w:rsidR="00A41883">
              <w:t>.</w:t>
            </w:r>
            <w:r w:rsidR="00CA3968">
              <w:t xml:space="preserve"> </w:t>
            </w:r>
          </w:p>
          <w:p w14:paraId="2ECAF254" w14:textId="3BAC4DD7" w:rsidR="008A2852" w:rsidRDefault="00CA3968" w:rsidP="008A2852">
            <w:pPr>
              <w:pStyle w:val="Tabletext"/>
            </w:pPr>
            <w:r>
              <w:t>Instead, we have suggested supplementing the definition of discrimination with another limb, based on the international definition of discrimination, that includes a justification defence</w:t>
            </w:r>
            <w:r w:rsidR="00AB31F2">
              <w:t xml:space="preserve">. </w:t>
            </w:r>
          </w:p>
          <w:p w14:paraId="0A09D2BC" w14:textId="5AAA857C" w:rsidR="00A41883" w:rsidRDefault="008A2852" w:rsidP="008A2852">
            <w:pPr>
              <w:pStyle w:val="Tabletext"/>
            </w:pPr>
            <w:r>
              <w:t xml:space="preserve">See section </w:t>
            </w:r>
            <w:r>
              <w:fldChar w:fldCharType="begin"/>
            </w:r>
            <w:r>
              <w:instrText xml:space="preserve"> REF _Ref94280815 \w \h  \* MERGEFORMAT </w:instrText>
            </w:r>
            <w:r>
              <w:fldChar w:fldCharType="separate"/>
            </w:r>
            <w:r w:rsidR="004109B9">
              <w:t>2(c)</w:t>
            </w:r>
            <w:r>
              <w:fldChar w:fldCharType="end"/>
            </w:r>
            <w:r>
              <w:t xml:space="preserve"> of our submission for further detail.</w:t>
            </w:r>
          </w:p>
        </w:tc>
      </w:tr>
      <w:tr w:rsidR="00A41883" w14:paraId="2A747CF0" w14:textId="77777777" w:rsidTr="0069133E">
        <w:tc>
          <w:tcPr>
            <w:tcW w:w="704" w:type="dxa"/>
          </w:tcPr>
          <w:p w14:paraId="589B7116" w14:textId="77777777" w:rsidR="00A41883" w:rsidRDefault="00A41883" w:rsidP="00A41883">
            <w:pPr>
              <w:pStyle w:val="Tabletext"/>
              <w:numPr>
                <w:ilvl w:val="0"/>
                <w:numId w:val="20"/>
              </w:numPr>
            </w:pPr>
            <w:bookmarkStart w:id="35" w:name="_Ref94281006"/>
          </w:p>
        </w:tc>
        <w:bookmarkEnd w:id="35"/>
        <w:tc>
          <w:tcPr>
            <w:tcW w:w="5954" w:type="dxa"/>
          </w:tcPr>
          <w:p w14:paraId="5E4E3394" w14:textId="77777777" w:rsidR="00A41883" w:rsidRDefault="00A41883" w:rsidP="00615797">
            <w:pPr>
              <w:pStyle w:val="Tabletext"/>
            </w:pPr>
            <w:r w:rsidRPr="00773677">
              <w:t>What concerns or considerations would be required in introducing a single justification defence to replace existing exceptions as applicable to:</w:t>
            </w:r>
          </w:p>
          <w:p w14:paraId="791DA5C1" w14:textId="77777777" w:rsidR="00A41883" w:rsidRDefault="00A41883" w:rsidP="00615797">
            <w:pPr>
              <w:pStyle w:val="Tabletext"/>
              <w:numPr>
                <w:ilvl w:val="0"/>
                <w:numId w:val="23"/>
              </w:numPr>
            </w:pPr>
            <w:r w:rsidRPr="00773677">
              <w:t>Religious bodies</w:t>
            </w:r>
          </w:p>
          <w:p w14:paraId="016CDA06" w14:textId="77777777" w:rsidR="00A41883" w:rsidRDefault="00A41883" w:rsidP="00615797">
            <w:pPr>
              <w:pStyle w:val="Tabletext"/>
              <w:numPr>
                <w:ilvl w:val="0"/>
                <w:numId w:val="23"/>
              </w:numPr>
            </w:pPr>
            <w:r w:rsidRPr="00773677">
              <w:t>Voluntary bodies</w:t>
            </w:r>
          </w:p>
          <w:p w14:paraId="47F4C3DD" w14:textId="77777777" w:rsidR="00A41883" w:rsidRDefault="00A41883" w:rsidP="00615797">
            <w:pPr>
              <w:pStyle w:val="Tabletext"/>
              <w:numPr>
                <w:ilvl w:val="0"/>
                <w:numId w:val="23"/>
              </w:numPr>
            </w:pPr>
            <w:r w:rsidRPr="00773677">
              <w:t>Licenced clubs</w:t>
            </w:r>
          </w:p>
          <w:p w14:paraId="140ACB28" w14:textId="77777777" w:rsidR="00A41883" w:rsidRDefault="00A41883" w:rsidP="00615797">
            <w:pPr>
              <w:pStyle w:val="Tabletext"/>
              <w:numPr>
                <w:ilvl w:val="0"/>
                <w:numId w:val="23"/>
              </w:numPr>
            </w:pPr>
            <w:r w:rsidRPr="00773677">
              <w:t>Sports</w:t>
            </w:r>
          </w:p>
          <w:p w14:paraId="7D20829D" w14:textId="77777777" w:rsidR="00A41883" w:rsidRDefault="00A41883" w:rsidP="00615797">
            <w:pPr>
              <w:pStyle w:val="Tabletext"/>
              <w:numPr>
                <w:ilvl w:val="0"/>
                <w:numId w:val="23"/>
              </w:numPr>
            </w:pPr>
            <w:r w:rsidRPr="00773677">
              <w:t>Employment</w:t>
            </w:r>
          </w:p>
          <w:p w14:paraId="633FAD01" w14:textId="77777777" w:rsidR="00A41883" w:rsidRDefault="00A41883" w:rsidP="00615797">
            <w:pPr>
              <w:pStyle w:val="Tabletext"/>
              <w:numPr>
                <w:ilvl w:val="0"/>
                <w:numId w:val="23"/>
              </w:numPr>
            </w:pPr>
            <w:r w:rsidRPr="00773677">
              <w:t>Workers in private homes</w:t>
            </w:r>
          </w:p>
          <w:p w14:paraId="1CDCF5D4" w14:textId="77777777" w:rsidR="00A41883" w:rsidRPr="00672675" w:rsidRDefault="00A41883" w:rsidP="00615797">
            <w:pPr>
              <w:pStyle w:val="Tabletext"/>
              <w:numPr>
                <w:ilvl w:val="0"/>
                <w:numId w:val="23"/>
              </w:numPr>
            </w:pPr>
            <w:r w:rsidRPr="00773677">
              <w:t>Insurance and superannuation companies?</w:t>
            </w:r>
          </w:p>
        </w:tc>
        <w:tc>
          <w:tcPr>
            <w:tcW w:w="6884" w:type="dxa"/>
          </w:tcPr>
          <w:p w14:paraId="63CF8028" w14:textId="71A4BABE" w:rsidR="00A41883" w:rsidRDefault="00615797" w:rsidP="0069133E">
            <w:pPr>
              <w:pStyle w:val="Tabletext"/>
            </w:pPr>
            <w:r>
              <w:t>See</w:t>
            </w:r>
            <w:r w:rsidR="00E049F0">
              <w:t xml:space="preserve"> response to</w:t>
            </w:r>
            <w:r>
              <w:t xml:space="preserve"> </w:t>
            </w:r>
            <w:r w:rsidR="00E049F0">
              <w:t xml:space="preserve">item </w:t>
            </w:r>
            <w:r w:rsidR="00E049F0">
              <w:fldChar w:fldCharType="begin"/>
            </w:r>
            <w:r w:rsidR="00E049F0">
              <w:instrText xml:space="preserve"> REF _Ref94281006 \w \h </w:instrText>
            </w:r>
            <w:r w:rsidR="00E049F0">
              <w:fldChar w:fldCharType="separate"/>
            </w:r>
            <w:r w:rsidR="004109B9">
              <w:t>4</w:t>
            </w:r>
            <w:r w:rsidR="00E049F0">
              <w:fldChar w:fldCharType="end"/>
            </w:r>
            <w:r w:rsidR="00E049F0">
              <w:t xml:space="preserve"> above.</w:t>
            </w:r>
          </w:p>
        </w:tc>
      </w:tr>
      <w:tr w:rsidR="00A41883" w14:paraId="1086ED1C" w14:textId="77777777" w:rsidTr="0069133E">
        <w:tc>
          <w:tcPr>
            <w:tcW w:w="13542" w:type="dxa"/>
            <w:gridSpan w:val="3"/>
            <w:shd w:val="clear" w:color="auto" w:fill="C7EDFF" w:themeFill="accent1" w:themeFillTint="33"/>
          </w:tcPr>
          <w:p w14:paraId="51E9C712" w14:textId="5B13537F" w:rsidR="00A41883" w:rsidRDefault="00A41883" w:rsidP="0069133E">
            <w:pPr>
              <w:pStyle w:val="Intro"/>
              <w:keepNext/>
            </w:pPr>
            <w:r>
              <w:t xml:space="preserve">Exceptions for </w:t>
            </w:r>
            <w:r w:rsidR="00E049F0">
              <w:t>a</w:t>
            </w:r>
            <w:r>
              <w:t xml:space="preserve">cts done to </w:t>
            </w:r>
            <w:r w:rsidR="00E049F0">
              <w:t>c</w:t>
            </w:r>
            <w:r>
              <w:t xml:space="preserve">omply with the </w:t>
            </w:r>
            <w:r w:rsidR="00FC6995">
              <w:t>l</w:t>
            </w:r>
            <w:r>
              <w:t>aw</w:t>
            </w:r>
          </w:p>
        </w:tc>
      </w:tr>
      <w:tr w:rsidR="00A41883" w14:paraId="15E624E7" w14:textId="77777777" w:rsidTr="0069133E">
        <w:tc>
          <w:tcPr>
            <w:tcW w:w="704" w:type="dxa"/>
          </w:tcPr>
          <w:p w14:paraId="23431068" w14:textId="77777777" w:rsidR="00A41883" w:rsidRDefault="00A41883" w:rsidP="00A41883">
            <w:pPr>
              <w:pStyle w:val="Tabletext"/>
              <w:numPr>
                <w:ilvl w:val="0"/>
                <w:numId w:val="20"/>
              </w:numPr>
            </w:pPr>
          </w:p>
        </w:tc>
        <w:tc>
          <w:tcPr>
            <w:tcW w:w="5954" w:type="dxa"/>
          </w:tcPr>
          <w:p w14:paraId="5ED93953" w14:textId="77777777" w:rsidR="00A41883" w:rsidRDefault="00A41883" w:rsidP="00E049F0">
            <w:pPr>
              <w:pStyle w:val="Tabletext"/>
            </w:pPr>
            <w:r>
              <w:t>Should the Discrimination Act be amended to remove the exception permitting acts done under statutory authority?  Should the Act keep a narrower exception to permit acts done directly to comply with a specific court or tribunal order?</w:t>
            </w:r>
          </w:p>
        </w:tc>
        <w:tc>
          <w:tcPr>
            <w:tcW w:w="6884" w:type="dxa"/>
          </w:tcPr>
          <w:p w14:paraId="4E79134C" w14:textId="3D4BF2AF" w:rsidR="00A41883" w:rsidRPr="00E049F0" w:rsidRDefault="005C359A" w:rsidP="00E049F0">
            <w:pPr>
              <w:pStyle w:val="Tabletext"/>
            </w:pPr>
            <w:r>
              <w:t xml:space="preserve">We have provided some potential reform options in section </w:t>
            </w:r>
            <w:r>
              <w:fldChar w:fldCharType="begin"/>
            </w:r>
            <w:r>
              <w:instrText xml:space="preserve"> REF _Ref94281055 \w \h </w:instrText>
            </w:r>
            <w:r>
              <w:fldChar w:fldCharType="separate"/>
            </w:r>
            <w:r w:rsidR="004109B9">
              <w:t>5</w:t>
            </w:r>
            <w:r>
              <w:fldChar w:fldCharType="end"/>
            </w:r>
            <w:r>
              <w:t xml:space="preserve"> of our submission.</w:t>
            </w:r>
          </w:p>
        </w:tc>
      </w:tr>
      <w:tr w:rsidR="00A41883" w14:paraId="76E38D82" w14:textId="77777777" w:rsidTr="0069133E">
        <w:tc>
          <w:tcPr>
            <w:tcW w:w="13542" w:type="dxa"/>
            <w:gridSpan w:val="3"/>
            <w:shd w:val="clear" w:color="auto" w:fill="C7EDFF" w:themeFill="accent1" w:themeFillTint="33"/>
          </w:tcPr>
          <w:p w14:paraId="392260AD" w14:textId="5EF71CD7" w:rsidR="00A41883" w:rsidRDefault="00A41883" w:rsidP="0069133E">
            <w:pPr>
              <w:pStyle w:val="Intro"/>
              <w:keepNext/>
            </w:pPr>
            <w:r>
              <w:rPr>
                <w:bCs/>
              </w:rPr>
              <w:t xml:space="preserve">Exception for </w:t>
            </w:r>
            <w:r w:rsidR="005C359A">
              <w:rPr>
                <w:bCs/>
              </w:rPr>
              <w:t>r</w:t>
            </w:r>
            <w:r>
              <w:rPr>
                <w:bCs/>
              </w:rPr>
              <w:t xml:space="preserve">eligious </w:t>
            </w:r>
            <w:r w:rsidR="00305E4C">
              <w:rPr>
                <w:bCs/>
              </w:rPr>
              <w:t>b</w:t>
            </w:r>
            <w:r>
              <w:rPr>
                <w:bCs/>
              </w:rPr>
              <w:t>odies</w:t>
            </w:r>
          </w:p>
        </w:tc>
      </w:tr>
      <w:tr w:rsidR="00A41883" w14:paraId="188755C9" w14:textId="77777777" w:rsidTr="0069133E">
        <w:tc>
          <w:tcPr>
            <w:tcW w:w="704" w:type="dxa"/>
          </w:tcPr>
          <w:p w14:paraId="12B8AB11" w14:textId="77777777" w:rsidR="00A41883" w:rsidRDefault="00A41883" w:rsidP="00A41883">
            <w:pPr>
              <w:pStyle w:val="Tabletext"/>
              <w:numPr>
                <w:ilvl w:val="0"/>
                <w:numId w:val="20"/>
              </w:numPr>
            </w:pPr>
            <w:bookmarkStart w:id="36" w:name="_Ref90939806"/>
          </w:p>
        </w:tc>
        <w:bookmarkEnd w:id="36"/>
        <w:tc>
          <w:tcPr>
            <w:tcW w:w="5954" w:type="dxa"/>
          </w:tcPr>
          <w:p w14:paraId="518761F3" w14:textId="77777777" w:rsidR="00A41883" w:rsidRPr="00962028" w:rsidRDefault="00A41883" w:rsidP="00962028">
            <w:pPr>
              <w:pStyle w:val="Tabletext"/>
            </w:pPr>
            <w:r w:rsidRPr="00962028">
              <w:t>Should the exception protecting religious observances (e.g. appointment of ministers etc) be refined so that discrimination is only permitted where necessary to conform with the doctrines of the relevant religion?</w:t>
            </w:r>
          </w:p>
        </w:tc>
        <w:tc>
          <w:tcPr>
            <w:tcW w:w="6884" w:type="dxa"/>
          </w:tcPr>
          <w:p w14:paraId="51C578A6" w14:textId="498D153F" w:rsidR="00A41883" w:rsidRPr="00962028" w:rsidRDefault="00305E4C" w:rsidP="00962028">
            <w:pPr>
              <w:pStyle w:val="Tabletext"/>
            </w:pPr>
            <w:r w:rsidRPr="00962028">
              <w:t>We would have no objection to this proposal.</w:t>
            </w:r>
          </w:p>
          <w:p w14:paraId="576C8EBF" w14:textId="05C4B92D" w:rsidR="00305E4C" w:rsidRPr="00962028" w:rsidRDefault="00305E4C" w:rsidP="00962028">
            <w:pPr>
              <w:pStyle w:val="Tabletext"/>
            </w:pPr>
            <w:r w:rsidRPr="00962028">
              <w:t xml:space="preserve">For our detailed submissions on exceptions for religious bodies, see section </w:t>
            </w:r>
            <w:r w:rsidRPr="00962028">
              <w:fldChar w:fldCharType="begin"/>
            </w:r>
            <w:r w:rsidRPr="00962028">
              <w:instrText xml:space="preserve"> REF _Ref94281121 \w \h </w:instrText>
            </w:r>
            <w:r w:rsidR="00962028">
              <w:instrText xml:space="preserve"> \* MERGEFORMAT </w:instrText>
            </w:r>
            <w:r w:rsidRPr="00962028">
              <w:fldChar w:fldCharType="separate"/>
            </w:r>
            <w:r w:rsidR="004109B9">
              <w:t>1</w:t>
            </w:r>
            <w:r w:rsidRPr="00962028">
              <w:fldChar w:fldCharType="end"/>
            </w:r>
            <w:r w:rsidRPr="00962028">
              <w:t xml:space="preserve"> of our submission.</w:t>
            </w:r>
          </w:p>
          <w:p w14:paraId="1FB25C30" w14:textId="77777777" w:rsidR="00A41883" w:rsidRPr="00962028" w:rsidRDefault="00A41883" w:rsidP="00962028">
            <w:pPr>
              <w:pStyle w:val="Tabletext"/>
            </w:pPr>
          </w:p>
        </w:tc>
      </w:tr>
      <w:tr w:rsidR="00A41883" w14:paraId="497232CC" w14:textId="77777777" w:rsidTr="0069133E">
        <w:tc>
          <w:tcPr>
            <w:tcW w:w="704" w:type="dxa"/>
          </w:tcPr>
          <w:p w14:paraId="1AF2CA47" w14:textId="77777777" w:rsidR="00A41883" w:rsidRDefault="00A41883" w:rsidP="00A41883">
            <w:pPr>
              <w:pStyle w:val="Tabletext"/>
              <w:numPr>
                <w:ilvl w:val="0"/>
                <w:numId w:val="20"/>
              </w:numPr>
            </w:pPr>
          </w:p>
        </w:tc>
        <w:tc>
          <w:tcPr>
            <w:tcW w:w="5954" w:type="dxa"/>
          </w:tcPr>
          <w:p w14:paraId="6F46B97E" w14:textId="77777777" w:rsidR="00A41883" w:rsidRPr="00962028" w:rsidRDefault="00A41883" w:rsidP="00962028">
            <w:pPr>
              <w:pStyle w:val="Tabletext"/>
            </w:pPr>
            <w:r w:rsidRPr="00962028">
              <w:t>Should the religious bodies exception be changed so that religious bodies cannot lawfully discriminate when conducting commercial (for-profit) activities?</w:t>
            </w:r>
          </w:p>
        </w:tc>
        <w:tc>
          <w:tcPr>
            <w:tcW w:w="6884" w:type="dxa"/>
          </w:tcPr>
          <w:p w14:paraId="332EA179" w14:textId="70A37515" w:rsidR="00305E4C" w:rsidRPr="00962028" w:rsidRDefault="00305E4C" w:rsidP="00962028">
            <w:pPr>
              <w:pStyle w:val="Tabletext"/>
            </w:pPr>
            <w:r w:rsidRPr="00962028">
              <w:t>We would have no objection to this proposal</w:t>
            </w:r>
            <w:r w:rsidR="00C92651" w:rsidRPr="00962028">
              <w:t>, although we consider it unlikely that a body with commercial purposes could have the benefit of section 32(1)(d).</w:t>
            </w:r>
          </w:p>
          <w:p w14:paraId="0746FD5B" w14:textId="1D15B4F5" w:rsidR="00A41883" w:rsidRPr="00962028" w:rsidRDefault="00305E4C" w:rsidP="00962028">
            <w:pPr>
              <w:pStyle w:val="Tabletext"/>
            </w:pPr>
            <w:r w:rsidRPr="00962028">
              <w:t xml:space="preserve">For our detailed submissions on exceptions for religious bodies, see section </w:t>
            </w:r>
            <w:r w:rsidRPr="00962028">
              <w:fldChar w:fldCharType="begin"/>
            </w:r>
            <w:r w:rsidRPr="00962028">
              <w:instrText xml:space="preserve"> REF _Ref94281121 \w \h </w:instrText>
            </w:r>
            <w:r w:rsidR="00962028">
              <w:instrText xml:space="preserve"> \* MERGEFORMAT </w:instrText>
            </w:r>
            <w:r w:rsidRPr="00962028">
              <w:fldChar w:fldCharType="separate"/>
            </w:r>
            <w:r w:rsidR="004109B9">
              <w:t>1</w:t>
            </w:r>
            <w:r w:rsidRPr="00962028">
              <w:fldChar w:fldCharType="end"/>
            </w:r>
            <w:r w:rsidRPr="00962028">
              <w:t xml:space="preserve"> of our submission.</w:t>
            </w:r>
          </w:p>
        </w:tc>
      </w:tr>
      <w:tr w:rsidR="00A41883" w14:paraId="26FEF4BE" w14:textId="77777777" w:rsidTr="0069133E">
        <w:tc>
          <w:tcPr>
            <w:tcW w:w="704" w:type="dxa"/>
          </w:tcPr>
          <w:p w14:paraId="3D13926D" w14:textId="77777777" w:rsidR="00A41883" w:rsidRDefault="00A41883" w:rsidP="00A41883">
            <w:pPr>
              <w:pStyle w:val="Tabletext"/>
              <w:numPr>
                <w:ilvl w:val="0"/>
                <w:numId w:val="20"/>
              </w:numPr>
            </w:pPr>
          </w:p>
        </w:tc>
        <w:tc>
          <w:tcPr>
            <w:tcW w:w="5954" w:type="dxa"/>
          </w:tcPr>
          <w:p w14:paraId="20493ECF" w14:textId="373F62D5" w:rsidR="00A41883" w:rsidRPr="004230C4" w:rsidRDefault="00A41883" w:rsidP="0069133E">
            <w:pPr>
              <w:pStyle w:val="Tabletext"/>
            </w:pPr>
            <w:r>
              <w:t>Should the religious bodies exception be changed so that religious bodies cannot lawfully discriminate when providing goods or services to members of the public?</w:t>
            </w:r>
          </w:p>
        </w:tc>
        <w:tc>
          <w:tcPr>
            <w:tcW w:w="6884" w:type="dxa"/>
          </w:tcPr>
          <w:p w14:paraId="5F190F75" w14:textId="7E43823C" w:rsidR="00E43972" w:rsidRDefault="00A41883" w:rsidP="0069133E">
            <w:pPr>
              <w:pStyle w:val="Tabletext"/>
            </w:pPr>
            <w:r>
              <w:t xml:space="preserve">As discussed in further detail in </w:t>
            </w:r>
            <w:r w:rsidR="004230C4">
              <w:t xml:space="preserve">section </w:t>
            </w:r>
            <w:r w:rsidR="004230C4">
              <w:fldChar w:fldCharType="begin"/>
            </w:r>
            <w:r w:rsidR="004230C4">
              <w:instrText xml:space="preserve"> REF _Ref94281121 \w \h </w:instrText>
            </w:r>
            <w:r w:rsidR="004230C4">
              <w:fldChar w:fldCharType="separate"/>
            </w:r>
            <w:r w:rsidR="004109B9">
              <w:t>1</w:t>
            </w:r>
            <w:r w:rsidR="004230C4">
              <w:fldChar w:fldCharType="end"/>
            </w:r>
            <w:r w:rsidR="004230C4">
              <w:t>,</w:t>
            </w:r>
            <w:r>
              <w:t xml:space="preserve"> </w:t>
            </w:r>
            <w:r w:rsidR="00E43972">
              <w:t xml:space="preserve">we propose that </w:t>
            </w:r>
            <w:r>
              <w:t xml:space="preserve">discrimination </w:t>
            </w:r>
            <w:r w:rsidR="00E43972">
              <w:t xml:space="preserve">by religious bodies </w:t>
            </w:r>
            <w:r>
              <w:t xml:space="preserve">in the provision of goods or services </w:t>
            </w:r>
            <w:r w:rsidR="00E43972">
              <w:t xml:space="preserve">to the public </w:t>
            </w:r>
            <w:r>
              <w:t>should</w:t>
            </w:r>
            <w:r w:rsidR="00E43972">
              <w:t xml:space="preserve"> be allowed on the grounds of religious conviction</w:t>
            </w:r>
            <w:r w:rsidR="00726075">
              <w:t xml:space="preserve"> only</w:t>
            </w:r>
            <w:r w:rsidR="00E43972">
              <w:t>,</w:t>
            </w:r>
            <w:r w:rsidR="00726075">
              <w:t xml:space="preserve"> and</w:t>
            </w:r>
            <w:r w:rsidR="00E43972">
              <w:t xml:space="preserve"> where</w:t>
            </w:r>
            <w:r>
              <w:t xml:space="preserve"> </w:t>
            </w:r>
            <w:r w:rsidR="00726075">
              <w:t>that discrimination:</w:t>
            </w:r>
          </w:p>
          <w:p w14:paraId="581E0CB6" w14:textId="50C3CE7B" w:rsidR="00E43972" w:rsidRDefault="00726075" w:rsidP="00E43972">
            <w:pPr>
              <w:pStyle w:val="Bullet"/>
            </w:pPr>
            <w:r>
              <w:t xml:space="preserve">is </w:t>
            </w:r>
            <w:r w:rsidR="00A41883">
              <w:t>reasonable and proportionate</w:t>
            </w:r>
            <w:r w:rsidR="00E43972">
              <w:t xml:space="preserve"> in all the circumstances</w:t>
            </w:r>
            <w:r w:rsidR="00A41883">
              <w:t xml:space="preserve">, </w:t>
            </w:r>
          </w:p>
          <w:p w14:paraId="40EECADF" w14:textId="44D5CE8A" w:rsidR="00E43972" w:rsidRDefault="00A41883" w:rsidP="00E43972">
            <w:pPr>
              <w:pStyle w:val="Bullet"/>
            </w:pPr>
            <w:r>
              <w:t>conform</w:t>
            </w:r>
            <w:r w:rsidR="00726075">
              <w:t>s</w:t>
            </w:r>
            <w:r>
              <w:t xml:space="preserve"> with the doctrines, tenets or beliefs of a religion</w:t>
            </w:r>
            <w:r w:rsidR="004230C4">
              <w:t>,</w:t>
            </w:r>
            <w:r>
              <w:t xml:space="preserve"> and </w:t>
            </w:r>
          </w:p>
          <w:p w14:paraId="34FB47D1" w14:textId="1C211790" w:rsidR="00A41883" w:rsidRDefault="00726075" w:rsidP="0069133E">
            <w:pPr>
              <w:pStyle w:val="Bullet"/>
            </w:pPr>
            <w:r>
              <w:t xml:space="preserve">is </w:t>
            </w:r>
            <w:r w:rsidR="00A41883">
              <w:t xml:space="preserve">necessary to avoid injury to the religious susceptibilities of adherents of that religion. </w:t>
            </w:r>
          </w:p>
        </w:tc>
      </w:tr>
      <w:tr w:rsidR="00A41883" w14:paraId="734DE9D3" w14:textId="77777777" w:rsidTr="0069133E">
        <w:tc>
          <w:tcPr>
            <w:tcW w:w="704" w:type="dxa"/>
          </w:tcPr>
          <w:p w14:paraId="1DFFF25F" w14:textId="77777777" w:rsidR="00A41883" w:rsidRDefault="00A41883" w:rsidP="00A41883">
            <w:pPr>
              <w:pStyle w:val="Tabletext"/>
              <w:numPr>
                <w:ilvl w:val="0"/>
                <w:numId w:val="20"/>
              </w:numPr>
            </w:pPr>
          </w:p>
        </w:tc>
        <w:tc>
          <w:tcPr>
            <w:tcW w:w="5954" w:type="dxa"/>
          </w:tcPr>
          <w:p w14:paraId="7F01D5B7" w14:textId="77777777" w:rsidR="00A41883" w:rsidRPr="008C469B" w:rsidRDefault="00A41883" w:rsidP="00962028">
            <w:pPr>
              <w:pStyle w:val="Tabletext"/>
              <w:rPr>
                <w:b/>
                <w:bCs/>
              </w:rPr>
            </w:pPr>
            <w:r>
              <w:t>Should religious health care providers only be permitted to discriminate on the ground of religion in employment decisions where the duties are of a religious nature?</w:t>
            </w:r>
          </w:p>
        </w:tc>
        <w:tc>
          <w:tcPr>
            <w:tcW w:w="6884" w:type="dxa"/>
          </w:tcPr>
          <w:p w14:paraId="0470B7F5" w14:textId="2BFB9DB8" w:rsidR="00A41883" w:rsidRDefault="003471F1" w:rsidP="00962028">
            <w:pPr>
              <w:pStyle w:val="Tabletext"/>
            </w:pPr>
            <w:r>
              <w:t xml:space="preserve">As discussed in further detail in section </w:t>
            </w:r>
            <w:r>
              <w:fldChar w:fldCharType="begin"/>
            </w:r>
            <w:r>
              <w:instrText xml:space="preserve"> REF _Ref94281121 \w \h </w:instrText>
            </w:r>
            <w:r w:rsidR="00962028">
              <w:instrText xml:space="preserve"> \* MERGEFORMAT </w:instrText>
            </w:r>
            <w:r>
              <w:fldChar w:fldCharType="separate"/>
            </w:r>
            <w:r w:rsidR="004109B9">
              <w:t>1</w:t>
            </w:r>
            <w:r>
              <w:fldChar w:fldCharType="end"/>
            </w:r>
            <w:r>
              <w:t>, we suggest amending section 44 to include a ‘reasonable and proportionate’ test.</w:t>
            </w:r>
          </w:p>
        </w:tc>
      </w:tr>
      <w:tr w:rsidR="00A41883" w14:paraId="0F91F0AC" w14:textId="77777777" w:rsidTr="0069133E">
        <w:tc>
          <w:tcPr>
            <w:tcW w:w="704" w:type="dxa"/>
          </w:tcPr>
          <w:p w14:paraId="0F1029DC" w14:textId="77777777" w:rsidR="00A41883" w:rsidRDefault="00A41883" w:rsidP="00A41883">
            <w:pPr>
              <w:pStyle w:val="Tabletext"/>
              <w:numPr>
                <w:ilvl w:val="0"/>
                <w:numId w:val="20"/>
              </w:numPr>
            </w:pPr>
          </w:p>
        </w:tc>
        <w:tc>
          <w:tcPr>
            <w:tcW w:w="5954" w:type="dxa"/>
          </w:tcPr>
          <w:p w14:paraId="7A22871A" w14:textId="77777777" w:rsidR="00A41883" w:rsidRPr="008C469B" w:rsidRDefault="00A41883" w:rsidP="00962028">
            <w:pPr>
              <w:pStyle w:val="Tabletext"/>
              <w:rPr>
                <w:b/>
                <w:bCs/>
              </w:rPr>
            </w:pPr>
            <w:r>
              <w:t xml:space="preserve">Should any other religious service providers only be permitted to discriminate on the ground of religion in employment decisions where the duties are of a religious nature? </w:t>
            </w:r>
          </w:p>
        </w:tc>
        <w:tc>
          <w:tcPr>
            <w:tcW w:w="6884" w:type="dxa"/>
          </w:tcPr>
          <w:p w14:paraId="19A5FAC4" w14:textId="6544A40A" w:rsidR="00A41883" w:rsidRDefault="003471F1" w:rsidP="00962028">
            <w:pPr>
              <w:pStyle w:val="Tabletext"/>
            </w:pPr>
            <w:r>
              <w:t>This would be covered adequately by the amended section 32(1)(d) we have proposed</w:t>
            </w:r>
            <w:r w:rsidR="00AB31F2">
              <w:t xml:space="preserve">. </w:t>
            </w:r>
            <w:r>
              <w:t xml:space="preserve">See section </w:t>
            </w:r>
            <w:r>
              <w:fldChar w:fldCharType="begin"/>
            </w:r>
            <w:r>
              <w:instrText xml:space="preserve"> REF _Ref94281121 \w \h </w:instrText>
            </w:r>
            <w:r w:rsidR="00962028">
              <w:instrText xml:space="preserve"> \* MERGEFORMAT </w:instrText>
            </w:r>
            <w:r>
              <w:fldChar w:fldCharType="separate"/>
            </w:r>
            <w:r w:rsidR="004109B9">
              <w:t>1</w:t>
            </w:r>
            <w:r>
              <w:fldChar w:fldCharType="end"/>
            </w:r>
            <w:r>
              <w:t xml:space="preserve"> of our submission.</w:t>
            </w:r>
          </w:p>
        </w:tc>
      </w:tr>
      <w:tr w:rsidR="00A41883" w14:paraId="35D0AD03" w14:textId="77777777" w:rsidTr="0069133E">
        <w:tc>
          <w:tcPr>
            <w:tcW w:w="704" w:type="dxa"/>
          </w:tcPr>
          <w:p w14:paraId="6CCAA430" w14:textId="77777777" w:rsidR="00A41883" w:rsidRDefault="00A41883" w:rsidP="00A41883">
            <w:pPr>
              <w:pStyle w:val="Tabletext"/>
              <w:numPr>
                <w:ilvl w:val="0"/>
                <w:numId w:val="20"/>
              </w:numPr>
            </w:pPr>
          </w:p>
        </w:tc>
        <w:tc>
          <w:tcPr>
            <w:tcW w:w="5954" w:type="dxa"/>
          </w:tcPr>
          <w:p w14:paraId="3509BE00" w14:textId="77777777" w:rsidR="00A41883" w:rsidRPr="008C469B" w:rsidRDefault="00A41883" w:rsidP="00962028">
            <w:pPr>
              <w:pStyle w:val="Tabletext"/>
              <w:rPr>
                <w:b/>
                <w:bCs/>
              </w:rPr>
            </w:pPr>
            <w:r>
              <w:t>Are there any other circumstances in which religious bodies should be permitted to discriminate in employment decisions?</w:t>
            </w:r>
          </w:p>
        </w:tc>
        <w:tc>
          <w:tcPr>
            <w:tcW w:w="6884" w:type="dxa"/>
          </w:tcPr>
          <w:p w14:paraId="7EAF2377" w14:textId="74F9638A" w:rsidR="00D32ABD" w:rsidRDefault="00D32ABD" w:rsidP="00962028">
            <w:pPr>
              <w:pStyle w:val="Tabletext"/>
            </w:pPr>
            <w:r>
              <w:t>This would be covered adequately by the amended section 32(1)(d) we have proposed, as well as existing exemptions that apply to other organisations</w:t>
            </w:r>
            <w:r w:rsidR="00AB31F2">
              <w:t xml:space="preserve">. </w:t>
            </w:r>
          </w:p>
          <w:p w14:paraId="6ABB7DA9" w14:textId="20DF5A74" w:rsidR="00A41883" w:rsidRDefault="00D32ABD" w:rsidP="00962028">
            <w:pPr>
              <w:pStyle w:val="Tabletext"/>
            </w:pPr>
            <w:r>
              <w:t xml:space="preserve">See section </w:t>
            </w:r>
            <w:r>
              <w:fldChar w:fldCharType="begin"/>
            </w:r>
            <w:r>
              <w:instrText xml:space="preserve"> REF _Ref94281121 \w \h </w:instrText>
            </w:r>
            <w:r w:rsidR="00962028">
              <w:instrText xml:space="preserve"> \* MERGEFORMAT </w:instrText>
            </w:r>
            <w:r>
              <w:fldChar w:fldCharType="separate"/>
            </w:r>
            <w:r w:rsidR="004109B9">
              <w:t>1</w:t>
            </w:r>
            <w:r>
              <w:fldChar w:fldCharType="end"/>
            </w:r>
            <w:r>
              <w:t xml:space="preserve"> of our submission.</w:t>
            </w:r>
          </w:p>
        </w:tc>
      </w:tr>
      <w:tr w:rsidR="00A41883" w14:paraId="6090D9DB" w14:textId="77777777" w:rsidTr="0069133E">
        <w:tc>
          <w:tcPr>
            <w:tcW w:w="704" w:type="dxa"/>
          </w:tcPr>
          <w:p w14:paraId="218A2628" w14:textId="77777777" w:rsidR="00A41883" w:rsidRDefault="00A41883" w:rsidP="00A41883">
            <w:pPr>
              <w:pStyle w:val="Tabletext"/>
              <w:numPr>
                <w:ilvl w:val="0"/>
                <w:numId w:val="20"/>
              </w:numPr>
            </w:pPr>
          </w:p>
        </w:tc>
        <w:tc>
          <w:tcPr>
            <w:tcW w:w="5954" w:type="dxa"/>
          </w:tcPr>
          <w:p w14:paraId="4BE68CBF" w14:textId="77777777" w:rsidR="00A41883" w:rsidRPr="008C469B" w:rsidRDefault="00A41883" w:rsidP="00962028">
            <w:pPr>
              <w:pStyle w:val="Tabletext"/>
              <w:rPr>
                <w:b/>
                <w:bCs/>
              </w:rPr>
            </w:pPr>
            <w:r>
              <w:t>Should some sectors or types of organisations be prevented from relying on the general religious bodies exception? For example, organisations that receive a certain proportion of public funding?</w:t>
            </w:r>
          </w:p>
        </w:tc>
        <w:tc>
          <w:tcPr>
            <w:tcW w:w="6884" w:type="dxa"/>
          </w:tcPr>
          <w:p w14:paraId="4191E583" w14:textId="4988608F" w:rsidR="00A41883" w:rsidRDefault="00784A7D" w:rsidP="00962028">
            <w:pPr>
              <w:pStyle w:val="Tabletext"/>
            </w:pPr>
            <w:r>
              <w:t>Yes, although we do not think that a delineation based on public funding will work as intended</w:t>
            </w:r>
            <w:r w:rsidR="00AB31F2">
              <w:t xml:space="preserve">. </w:t>
            </w:r>
            <w:r>
              <w:t xml:space="preserve">Instead, we have proposed amendments to section 32(1)(d) to address this. </w:t>
            </w:r>
          </w:p>
          <w:p w14:paraId="66B24869" w14:textId="48C5F5A3" w:rsidR="00E011D1" w:rsidRDefault="00E011D1" w:rsidP="00962028">
            <w:pPr>
              <w:pStyle w:val="Tabletext"/>
            </w:pPr>
            <w:r>
              <w:t xml:space="preserve">See section </w:t>
            </w:r>
            <w:r>
              <w:fldChar w:fldCharType="begin"/>
            </w:r>
            <w:r>
              <w:instrText xml:space="preserve"> REF _Ref94281121 \w \h </w:instrText>
            </w:r>
            <w:r w:rsidR="00962028">
              <w:instrText xml:space="preserve"> \* MERGEFORMAT </w:instrText>
            </w:r>
            <w:r>
              <w:fldChar w:fldCharType="separate"/>
            </w:r>
            <w:r w:rsidR="004109B9">
              <w:t>1</w:t>
            </w:r>
            <w:r>
              <w:fldChar w:fldCharType="end"/>
            </w:r>
            <w:r>
              <w:t xml:space="preserve"> of our submission.</w:t>
            </w:r>
          </w:p>
        </w:tc>
      </w:tr>
      <w:tr w:rsidR="00A41883" w14:paraId="3228C2B3" w14:textId="77777777" w:rsidTr="0069133E">
        <w:tc>
          <w:tcPr>
            <w:tcW w:w="704" w:type="dxa"/>
          </w:tcPr>
          <w:p w14:paraId="30028E1C" w14:textId="77777777" w:rsidR="00A41883" w:rsidRDefault="00A41883" w:rsidP="00A41883">
            <w:pPr>
              <w:pStyle w:val="Tabletext"/>
              <w:numPr>
                <w:ilvl w:val="0"/>
                <w:numId w:val="20"/>
              </w:numPr>
            </w:pPr>
          </w:p>
        </w:tc>
        <w:tc>
          <w:tcPr>
            <w:tcW w:w="5954" w:type="dxa"/>
          </w:tcPr>
          <w:p w14:paraId="6D12A30F" w14:textId="77777777" w:rsidR="00A41883" w:rsidRPr="008C469B" w:rsidRDefault="00A41883" w:rsidP="00962028">
            <w:pPr>
              <w:pStyle w:val="Tabletext"/>
              <w:rPr>
                <w:b/>
                <w:bCs/>
              </w:rPr>
            </w:pPr>
            <w:r>
              <w:t>Should religious bodies only be permitted to discriminate against members of the public on some grounds, and not others? If so, which grounds should be permissible?</w:t>
            </w:r>
          </w:p>
        </w:tc>
        <w:tc>
          <w:tcPr>
            <w:tcW w:w="6884" w:type="dxa"/>
          </w:tcPr>
          <w:p w14:paraId="3AEDF692" w14:textId="148911BA" w:rsidR="00A41883" w:rsidRDefault="00E011D1" w:rsidP="00962028">
            <w:pPr>
              <w:pStyle w:val="Tabletext"/>
            </w:pPr>
            <w:r>
              <w:t xml:space="preserve">Yes, </w:t>
            </w:r>
            <w:r w:rsidR="00F758FB">
              <w:t xml:space="preserve">as discussed further in section </w:t>
            </w:r>
            <w:r w:rsidR="00F758FB">
              <w:fldChar w:fldCharType="begin"/>
            </w:r>
            <w:r w:rsidR="00F758FB">
              <w:instrText xml:space="preserve"> REF _Ref94281121 \w \h </w:instrText>
            </w:r>
            <w:r w:rsidR="00962028">
              <w:instrText xml:space="preserve"> \* MERGEFORMAT </w:instrText>
            </w:r>
            <w:r w:rsidR="00F758FB">
              <w:fldChar w:fldCharType="separate"/>
            </w:r>
            <w:r w:rsidR="004109B9">
              <w:t>1</w:t>
            </w:r>
            <w:r w:rsidR="00F758FB">
              <w:fldChar w:fldCharType="end"/>
            </w:r>
            <w:r w:rsidR="00F758FB">
              <w:t xml:space="preserve"> of our submission, </w:t>
            </w:r>
            <w:r>
              <w:t>discrimination by religious bodies should be based on</w:t>
            </w:r>
            <w:r w:rsidR="00F758FB">
              <w:t xml:space="preserve"> the ground of</w:t>
            </w:r>
            <w:r>
              <w:t xml:space="preserve"> religious conviction only</w:t>
            </w:r>
            <w:r w:rsidR="00AB31F2">
              <w:t xml:space="preserve">. </w:t>
            </w:r>
            <w:r w:rsidR="00F758FB">
              <w:t xml:space="preserve">Religious bodies </w:t>
            </w:r>
            <w:r w:rsidR="00882C7F">
              <w:t>can otherwise benefit from the same exceptions applying to other organisations, and can seek temporary exceptions if they need further exceptions</w:t>
            </w:r>
            <w:r w:rsidR="00AB31F2">
              <w:t xml:space="preserve">. </w:t>
            </w:r>
          </w:p>
          <w:p w14:paraId="7F065CF3" w14:textId="22315D3B" w:rsidR="007144A2" w:rsidRDefault="007144A2" w:rsidP="00962028">
            <w:pPr>
              <w:pStyle w:val="Tabletext"/>
            </w:pPr>
            <w:r>
              <w:t xml:space="preserve">If </w:t>
            </w:r>
            <w:r w:rsidRPr="007144A2">
              <w:t>religious bodies need a specific exemption in respect of another attribute, the onus should be on them to clearly explain what dispensations they need and in which contexts, such that a more reasonable and targeted exemption could be framed</w:t>
            </w:r>
            <w:r>
              <w:t>.</w:t>
            </w:r>
            <w:r w:rsidRPr="007144A2">
              <w:t xml:space="preserve"> </w:t>
            </w:r>
          </w:p>
        </w:tc>
      </w:tr>
      <w:tr w:rsidR="00A41883" w14:paraId="12686F30" w14:textId="77777777" w:rsidTr="0069133E">
        <w:tc>
          <w:tcPr>
            <w:tcW w:w="13542" w:type="dxa"/>
            <w:gridSpan w:val="3"/>
            <w:shd w:val="clear" w:color="auto" w:fill="C7EDFF" w:themeFill="accent1" w:themeFillTint="33"/>
          </w:tcPr>
          <w:p w14:paraId="60C22092" w14:textId="5668267E" w:rsidR="00A41883" w:rsidRDefault="00A41883" w:rsidP="0069133E">
            <w:pPr>
              <w:pStyle w:val="Intro"/>
            </w:pPr>
            <w:r>
              <w:t xml:space="preserve">Exceptions for </w:t>
            </w:r>
            <w:r w:rsidR="007144A2">
              <w:t>v</w:t>
            </w:r>
            <w:r>
              <w:t>oluntary (</w:t>
            </w:r>
            <w:r w:rsidR="007144A2">
              <w:t>n</w:t>
            </w:r>
            <w:r>
              <w:t>ot-</w:t>
            </w:r>
            <w:r w:rsidR="007144A2">
              <w:t>f</w:t>
            </w:r>
            <w:r>
              <w:t>or-</w:t>
            </w:r>
            <w:r w:rsidR="007144A2">
              <w:t>p</w:t>
            </w:r>
            <w:r>
              <w:t xml:space="preserve">rofit) </w:t>
            </w:r>
            <w:r w:rsidR="00962028">
              <w:t>o</w:t>
            </w:r>
            <w:r>
              <w:t>rganisations</w:t>
            </w:r>
          </w:p>
        </w:tc>
      </w:tr>
      <w:tr w:rsidR="00A41883" w14:paraId="14E426F4" w14:textId="77777777" w:rsidTr="0069133E">
        <w:tc>
          <w:tcPr>
            <w:tcW w:w="704" w:type="dxa"/>
          </w:tcPr>
          <w:p w14:paraId="4B7E385D" w14:textId="77777777" w:rsidR="00A41883" w:rsidRDefault="00A41883" w:rsidP="00A41883">
            <w:pPr>
              <w:pStyle w:val="Tabletext"/>
              <w:numPr>
                <w:ilvl w:val="0"/>
                <w:numId w:val="20"/>
              </w:numPr>
            </w:pPr>
            <w:bookmarkStart w:id="37" w:name="_Ref90940057"/>
          </w:p>
        </w:tc>
        <w:bookmarkEnd w:id="37"/>
        <w:tc>
          <w:tcPr>
            <w:tcW w:w="5954" w:type="dxa"/>
          </w:tcPr>
          <w:p w14:paraId="44451CE7" w14:textId="77777777" w:rsidR="00A41883" w:rsidRDefault="00A41883" w:rsidP="00962028">
            <w:pPr>
              <w:pStyle w:val="Tabletext"/>
            </w:pPr>
            <w:r>
              <w:t>Should voluntary bodies be permitted to discriminate when limiting their membership or services to groups of people protected by discrimination law where the organisation’s reason for existence is to promote the interests of that group of people?</w:t>
            </w:r>
          </w:p>
        </w:tc>
        <w:tc>
          <w:tcPr>
            <w:tcW w:w="6884" w:type="dxa"/>
          </w:tcPr>
          <w:p w14:paraId="70B65AB1" w14:textId="46F4916F" w:rsidR="00F15466" w:rsidRDefault="004A51BE" w:rsidP="00F15466">
            <w:r>
              <w:t xml:space="preserve">It is not </w:t>
            </w:r>
            <w:r w:rsidR="008D12D3">
              <w:t>currently clear which bodies are captured by the definition of ‘voluntary body’</w:t>
            </w:r>
            <w:r w:rsidR="00AB31F2">
              <w:t xml:space="preserve">. </w:t>
            </w:r>
            <w:r w:rsidR="008D12D3">
              <w:t>The definition suggests</w:t>
            </w:r>
            <w:r w:rsidR="008C1533">
              <w:t xml:space="preserve"> it could apply very broadly, including to an unincorporate</w:t>
            </w:r>
            <w:r w:rsidR="00684372">
              <w:t>d</w:t>
            </w:r>
            <w:r w:rsidR="008C1533">
              <w:t xml:space="preserve"> social group that meets to advance </w:t>
            </w:r>
            <w:r w:rsidR="00684372">
              <w:t>particular hobbies or interests</w:t>
            </w:r>
            <w:r w:rsidR="00AB31F2">
              <w:t xml:space="preserve">. </w:t>
            </w:r>
            <w:r w:rsidR="00684372">
              <w:t xml:space="preserve">Some of these groups are not likely to have the resources to </w:t>
            </w:r>
            <w:r w:rsidR="00F15466">
              <w:t>put in place robust measures against discrimination.</w:t>
            </w:r>
          </w:p>
          <w:p w14:paraId="0CFB0464" w14:textId="08FED5AB" w:rsidR="00F15466" w:rsidRDefault="00746ECD" w:rsidP="00F15466">
            <w:r>
              <w:t xml:space="preserve">We would suggest an audit of the types of groups likely to fall within this category, and ascertain whether it would be possible to narrow the exemption in </w:t>
            </w:r>
            <w:r w:rsidR="0014424D">
              <w:t xml:space="preserve">a </w:t>
            </w:r>
            <w:r>
              <w:t>reasonabl</w:t>
            </w:r>
            <w:r w:rsidR="0014424D">
              <w:t>y</w:t>
            </w:r>
            <w:r>
              <w:t xml:space="preserve"> clear and </w:t>
            </w:r>
            <w:r w:rsidR="00CF2475">
              <w:t>appropriate way.</w:t>
            </w:r>
          </w:p>
        </w:tc>
      </w:tr>
      <w:tr w:rsidR="00A41883" w14:paraId="4020C187" w14:textId="77777777" w:rsidTr="0069133E">
        <w:tc>
          <w:tcPr>
            <w:tcW w:w="704" w:type="dxa"/>
          </w:tcPr>
          <w:p w14:paraId="0FB72214" w14:textId="77777777" w:rsidR="00A41883" w:rsidRDefault="00A41883" w:rsidP="00A41883">
            <w:pPr>
              <w:pStyle w:val="Tabletext"/>
              <w:numPr>
                <w:ilvl w:val="0"/>
                <w:numId w:val="20"/>
              </w:numPr>
            </w:pPr>
          </w:p>
        </w:tc>
        <w:tc>
          <w:tcPr>
            <w:tcW w:w="5954" w:type="dxa"/>
          </w:tcPr>
          <w:p w14:paraId="7FA31F05" w14:textId="77777777" w:rsidR="00A41883" w:rsidRDefault="00A41883" w:rsidP="0069133E">
            <w:r>
              <w:t>Should voluntary bodies only be permitted to discriminate when limiting their membership or services to groups of people protected by discrimination law as a special measure (that is, in order to ensure that those people have equal opportunities with other people and/or meet their special needs)?</w:t>
            </w:r>
          </w:p>
        </w:tc>
        <w:tc>
          <w:tcPr>
            <w:tcW w:w="6884" w:type="dxa"/>
          </w:tcPr>
          <w:p w14:paraId="2FEA0724" w14:textId="7F8CD53C" w:rsidR="00A41883" w:rsidRDefault="00A41883" w:rsidP="0069133E">
            <w:r>
              <w:t xml:space="preserve">See item </w:t>
            </w:r>
            <w:r>
              <w:fldChar w:fldCharType="begin"/>
            </w:r>
            <w:r>
              <w:instrText xml:space="preserve"> REF _Ref90940057 \w \h </w:instrText>
            </w:r>
            <w:r>
              <w:fldChar w:fldCharType="separate"/>
            </w:r>
            <w:r w:rsidR="004109B9">
              <w:t>14</w:t>
            </w:r>
            <w:r>
              <w:fldChar w:fldCharType="end"/>
            </w:r>
            <w:r>
              <w:t>.</w:t>
            </w:r>
          </w:p>
        </w:tc>
      </w:tr>
      <w:tr w:rsidR="00A41883" w14:paraId="00D87B3B" w14:textId="77777777" w:rsidTr="0069133E">
        <w:tc>
          <w:tcPr>
            <w:tcW w:w="704" w:type="dxa"/>
          </w:tcPr>
          <w:p w14:paraId="43AD1C87" w14:textId="77777777" w:rsidR="00A41883" w:rsidRDefault="00A41883" w:rsidP="00A41883">
            <w:pPr>
              <w:pStyle w:val="Tabletext"/>
              <w:numPr>
                <w:ilvl w:val="0"/>
                <w:numId w:val="20"/>
              </w:numPr>
            </w:pPr>
          </w:p>
        </w:tc>
        <w:tc>
          <w:tcPr>
            <w:tcW w:w="5954" w:type="dxa"/>
          </w:tcPr>
          <w:p w14:paraId="632C41A1" w14:textId="77777777" w:rsidR="00A41883" w:rsidRDefault="00A41883" w:rsidP="0069133E">
            <w:r>
              <w:t>Alternatively, should the exception for voluntary bodies be removed?</w:t>
            </w:r>
          </w:p>
        </w:tc>
        <w:tc>
          <w:tcPr>
            <w:tcW w:w="6884" w:type="dxa"/>
          </w:tcPr>
          <w:p w14:paraId="33DEAE7B" w14:textId="3DC0A9B3" w:rsidR="00A41883" w:rsidRDefault="00A41883" w:rsidP="0069133E">
            <w:r>
              <w:t xml:space="preserve">See item </w:t>
            </w:r>
            <w:r>
              <w:fldChar w:fldCharType="begin"/>
            </w:r>
            <w:r>
              <w:instrText xml:space="preserve"> REF _Ref90940057 \w \h </w:instrText>
            </w:r>
            <w:r>
              <w:fldChar w:fldCharType="separate"/>
            </w:r>
            <w:r w:rsidR="004109B9">
              <w:t>14</w:t>
            </w:r>
            <w:r>
              <w:fldChar w:fldCharType="end"/>
            </w:r>
            <w:r>
              <w:t>.</w:t>
            </w:r>
          </w:p>
        </w:tc>
      </w:tr>
      <w:tr w:rsidR="00A41883" w14:paraId="65189EE5" w14:textId="77777777" w:rsidTr="0069133E">
        <w:tc>
          <w:tcPr>
            <w:tcW w:w="13542" w:type="dxa"/>
            <w:gridSpan w:val="3"/>
            <w:shd w:val="clear" w:color="auto" w:fill="C7EDFF" w:themeFill="accent1" w:themeFillTint="33"/>
          </w:tcPr>
          <w:p w14:paraId="0BFC320C" w14:textId="1FF75712" w:rsidR="00A41883" w:rsidRDefault="00A41883" w:rsidP="0069133E">
            <w:pPr>
              <w:pStyle w:val="Intro"/>
              <w:keepNext/>
            </w:pPr>
            <w:r>
              <w:t xml:space="preserve">Exception for </w:t>
            </w:r>
            <w:r w:rsidR="001B3831">
              <w:t>l</w:t>
            </w:r>
            <w:r>
              <w:t xml:space="preserve">icensed </w:t>
            </w:r>
            <w:r w:rsidR="001B3831">
              <w:t>c</w:t>
            </w:r>
            <w:r>
              <w:t>lubs</w:t>
            </w:r>
          </w:p>
        </w:tc>
      </w:tr>
      <w:tr w:rsidR="00A41883" w14:paraId="06F5DE89" w14:textId="77777777" w:rsidTr="0069133E">
        <w:tc>
          <w:tcPr>
            <w:tcW w:w="704" w:type="dxa"/>
          </w:tcPr>
          <w:p w14:paraId="7C94A6CB" w14:textId="77777777" w:rsidR="00A41883" w:rsidRDefault="00A41883" w:rsidP="00A41883">
            <w:pPr>
              <w:pStyle w:val="Tabletext"/>
              <w:numPr>
                <w:ilvl w:val="0"/>
                <w:numId w:val="20"/>
              </w:numPr>
            </w:pPr>
          </w:p>
        </w:tc>
        <w:tc>
          <w:tcPr>
            <w:tcW w:w="5954" w:type="dxa"/>
          </w:tcPr>
          <w:p w14:paraId="6DCFBBF8" w14:textId="77777777" w:rsidR="00A41883" w:rsidRPr="00A85DC1" w:rsidRDefault="00A41883" w:rsidP="00A85DC1">
            <w:pPr>
              <w:pStyle w:val="Tabletext"/>
            </w:pPr>
            <w:r w:rsidRPr="00A85DC1">
              <w:t>Should licenced clubs only be permitted to discriminate when limiting their membership or services to groups of people protected by discrimination law as a special measure (that is, in order to ensure that those people have equal opportunities with other people and/or meet their special needs)?</w:t>
            </w:r>
          </w:p>
        </w:tc>
        <w:tc>
          <w:tcPr>
            <w:tcW w:w="6884" w:type="dxa"/>
          </w:tcPr>
          <w:p w14:paraId="23728081" w14:textId="487ACAFB" w:rsidR="00370B94" w:rsidRPr="00A85DC1" w:rsidRDefault="00A41883" w:rsidP="00A85DC1">
            <w:pPr>
              <w:pStyle w:val="Tabletext"/>
            </w:pPr>
            <w:r w:rsidRPr="00A85DC1">
              <w:t>Unlike voluntary bodies, such clubs are already required to meet various regulatory obligations to secure licensing</w:t>
            </w:r>
            <w:r w:rsidR="00AB31F2">
              <w:t xml:space="preserve">. </w:t>
            </w:r>
            <w:r w:rsidR="001B3831" w:rsidRPr="00A85DC1">
              <w:t xml:space="preserve">Accordingly, it is not </w:t>
            </w:r>
            <w:r w:rsidR="00370B94" w:rsidRPr="00A85DC1">
              <w:t>clear whether any specific exemptions should otherwise apply.</w:t>
            </w:r>
            <w:r w:rsidR="00CF2475" w:rsidRPr="00A85DC1">
              <w:t xml:space="preserve"> </w:t>
            </w:r>
          </w:p>
          <w:p w14:paraId="556B0D9B" w14:textId="1AA12E2E" w:rsidR="00A41883" w:rsidRPr="00A85DC1" w:rsidRDefault="00370B94" w:rsidP="00A85DC1">
            <w:pPr>
              <w:pStyle w:val="Tabletext"/>
            </w:pPr>
            <w:r w:rsidRPr="00A85DC1">
              <w:t>The ACT may wish to consider also the approach taken in</w:t>
            </w:r>
            <w:r w:rsidR="00A41883" w:rsidRPr="00A85DC1">
              <w:t xml:space="preserve"> Queensland</w:t>
            </w:r>
            <w:r w:rsidRPr="00A85DC1">
              <w:t>,</w:t>
            </w:r>
            <w:r w:rsidR="00CE54B2" w:rsidRPr="00A85DC1">
              <w:t xml:space="preserve"> </w:t>
            </w:r>
            <w:r w:rsidR="00A41883" w:rsidRPr="00A85DC1">
              <w:t xml:space="preserve">where a club may </w:t>
            </w:r>
            <w:r w:rsidR="002354DE" w:rsidRPr="00A85DC1">
              <w:t>restrict</w:t>
            </w:r>
            <w:r w:rsidR="00CE54B2" w:rsidRPr="00A85DC1">
              <w:t xml:space="preserve"> its</w:t>
            </w:r>
            <w:r w:rsidR="00A41883" w:rsidRPr="00A85DC1">
              <w:t xml:space="preserve"> membership </w:t>
            </w:r>
            <w:r w:rsidR="00CE54B2" w:rsidRPr="00A85DC1">
              <w:t xml:space="preserve">only if it operates to </w:t>
            </w:r>
            <w:r w:rsidR="00A41883" w:rsidRPr="00A85DC1">
              <w:t>preserve a minority culture or to prevent or reduce disadvantage suffered by people of that group</w:t>
            </w:r>
            <w:r w:rsidRPr="00A85DC1">
              <w:t>.</w:t>
            </w:r>
            <w:r w:rsidR="00A41883" w:rsidRPr="00A85DC1">
              <w:rPr>
                <w:rStyle w:val="FootnoteReference"/>
              </w:rPr>
              <w:footnoteReference w:id="49"/>
            </w:r>
            <w:r w:rsidR="00A41883" w:rsidRPr="00A85DC1">
              <w:rPr>
                <w:vertAlign w:val="superscript"/>
              </w:rPr>
              <w:t xml:space="preserve"> </w:t>
            </w:r>
          </w:p>
        </w:tc>
      </w:tr>
      <w:tr w:rsidR="00A41883" w14:paraId="0271A459" w14:textId="77777777" w:rsidTr="0069133E">
        <w:tc>
          <w:tcPr>
            <w:tcW w:w="13542" w:type="dxa"/>
            <w:gridSpan w:val="3"/>
            <w:shd w:val="clear" w:color="auto" w:fill="C7EDFF" w:themeFill="accent1" w:themeFillTint="33"/>
          </w:tcPr>
          <w:p w14:paraId="2166DE7A" w14:textId="753DF6E5" w:rsidR="00A41883" w:rsidRDefault="00A41883" w:rsidP="0069133E">
            <w:pPr>
              <w:pStyle w:val="Intro"/>
              <w:keepNext/>
            </w:pPr>
            <w:r>
              <w:t xml:space="preserve">Exceptions for </w:t>
            </w:r>
            <w:r w:rsidR="007A256A">
              <w:t>s</w:t>
            </w:r>
            <w:r>
              <w:t>port</w:t>
            </w:r>
          </w:p>
        </w:tc>
      </w:tr>
      <w:tr w:rsidR="00A41883" w14:paraId="7B818D29" w14:textId="77777777" w:rsidTr="0069133E">
        <w:tc>
          <w:tcPr>
            <w:tcW w:w="704" w:type="dxa"/>
          </w:tcPr>
          <w:p w14:paraId="5CBA9C62" w14:textId="77777777" w:rsidR="00A41883" w:rsidRDefault="00A41883" w:rsidP="00A41883">
            <w:pPr>
              <w:pStyle w:val="Tabletext"/>
              <w:numPr>
                <w:ilvl w:val="0"/>
                <w:numId w:val="20"/>
              </w:numPr>
            </w:pPr>
            <w:bookmarkStart w:id="38" w:name="_Ref94282662"/>
          </w:p>
        </w:tc>
        <w:bookmarkEnd w:id="38"/>
        <w:tc>
          <w:tcPr>
            <w:tcW w:w="5954" w:type="dxa"/>
          </w:tcPr>
          <w:p w14:paraId="7E0E4254" w14:textId="77777777" w:rsidR="00A41883" w:rsidRPr="008E5475" w:rsidRDefault="00A41883" w:rsidP="008E5475">
            <w:pPr>
              <w:pStyle w:val="Tabletext"/>
            </w:pPr>
            <w:r w:rsidRPr="008E5475">
              <w:t>Should the exceptions permit people to be excluded from sport on the basis of their sex, sex characteristics, gender identity, or disability only where this is necessary for fair, safe, and effective competition?</w:t>
            </w:r>
          </w:p>
        </w:tc>
        <w:tc>
          <w:tcPr>
            <w:tcW w:w="6884" w:type="dxa"/>
          </w:tcPr>
          <w:p w14:paraId="01807078" w14:textId="4282EB3A" w:rsidR="00820883" w:rsidRPr="008E5475" w:rsidRDefault="007A256A" w:rsidP="008E5475">
            <w:pPr>
              <w:pStyle w:val="Tabletext"/>
            </w:pPr>
            <w:r w:rsidRPr="008E5475">
              <w:t xml:space="preserve">The </w:t>
            </w:r>
            <w:r w:rsidR="00F5516A" w:rsidRPr="008E5475">
              <w:t>sport</w:t>
            </w:r>
            <w:r w:rsidR="00820883" w:rsidRPr="008E5475">
              <w:t>ing</w:t>
            </w:r>
            <w:r w:rsidR="00F5516A" w:rsidRPr="008E5475">
              <w:t xml:space="preserve"> </w:t>
            </w:r>
            <w:r w:rsidRPr="008E5475">
              <w:t>exemptions do not</w:t>
            </w:r>
            <w:r w:rsidR="00F5516A" w:rsidRPr="008E5475">
              <w:t xml:space="preserve"> currently</w:t>
            </w:r>
            <w:r w:rsidRPr="008E5475">
              <w:t xml:space="preserve"> extend to</w:t>
            </w:r>
            <w:r w:rsidR="00F5516A" w:rsidRPr="008E5475">
              <w:t xml:space="preserve"> the grounds of</w:t>
            </w:r>
            <w:r w:rsidRPr="008E5475">
              <w:t xml:space="preserve"> sex characteristics or gender identity, and </w:t>
            </w:r>
            <w:r w:rsidR="00F5516A" w:rsidRPr="008E5475">
              <w:t>we would not support their expansion</w:t>
            </w:r>
            <w:r w:rsidR="00312F82" w:rsidRPr="008E5475">
              <w:t xml:space="preserve"> to these grounds</w:t>
            </w:r>
            <w:r w:rsidR="00AB31F2">
              <w:t xml:space="preserve">. </w:t>
            </w:r>
          </w:p>
          <w:p w14:paraId="0413827C" w14:textId="5A1E9D6F" w:rsidR="00A41883" w:rsidRPr="008E5475" w:rsidRDefault="00820883" w:rsidP="008E5475">
            <w:pPr>
              <w:pStyle w:val="Tabletext"/>
            </w:pPr>
            <w:r w:rsidRPr="008E5475">
              <w:t>The definition of discrimination already gives sports</w:t>
            </w:r>
            <w:r w:rsidR="00230E38" w:rsidRPr="008E5475">
              <w:t xml:space="preserve"> organisers’</w:t>
            </w:r>
            <w:r w:rsidRPr="008E5475">
              <w:t xml:space="preserve"> the ability to impose reasonable conditions or requirements</w:t>
            </w:r>
            <w:r w:rsidR="00312F82" w:rsidRPr="008E5475">
              <w:t>, even if they disadvantage a protected group</w:t>
            </w:r>
            <w:r w:rsidR="00AB31F2">
              <w:t xml:space="preserve">. </w:t>
            </w:r>
            <w:r w:rsidR="00312F82" w:rsidRPr="008E5475">
              <w:t>Accordingly, no specific exemptions are necessary.</w:t>
            </w:r>
            <w:r w:rsidRPr="008E5475">
              <w:t xml:space="preserve"> </w:t>
            </w:r>
          </w:p>
        </w:tc>
      </w:tr>
      <w:tr w:rsidR="00A41883" w14:paraId="35E94FC6" w14:textId="77777777" w:rsidTr="0069133E">
        <w:tc>
          <w:tcPr>
            <w:tcW w:w="704" w:type="dxa"/>
          </w:tcPr>
          <w:p w14:paraId="34114DFD" w14:textId="77777777" w:rsidR="00A41883" w:rsidRDefault="00A41883" w:rsidP="00A41883">
            <w:pPr>
              <w:pStyle w:val="Tabletext"/>
              <w:numPr>
                <w:ilvl w:val="0"/>
                <w:numId w:val="20"/>
              </w:numPr>
            </w:pPr>
          </w:p>
        </w:tc>
        <w:tc>
          <w:tcPr>
            <w:tcW w:w="5954" w:type="dxa"/>
          </w:tcPr>
          <w:p w14:paraId="16E9B290" w14:textId="77777777" w:rsidR="00A41883" w:rsidRPr="00A62EF9" w:rsidRDefault="00A41883" w:rsidP="008E5475">
            <w:pPr>
              <w:pStyle w:val="Tabletext"/>
            </w:pPr>
            <w:r>
              <w:t xml:space="preserve">Should discrimination against people in sport be prohibited entirely for children under 12 (except for permitting age-segregated teams?) </w:t>
            </w:r>
          </w:p>
        </w:tc>
        <w:tc>
          <w:tcPr>
            <w:tcW w:w="6884" w:type="dxa"/>
          </w:tcPr>
          <w:p w14:paraId="618B3E7E" w14:textId="29B3BFA5" w:rsidR="00A41883" w:rsidRDefault="00230E38" w:rsidP="008E5475">
            <w:pPr>
              <w:pStyle w:val="Tabletext"/>
            </w:pPr>
            <w:r>
              <w:t>S</w:t>
            </w:r>
            <w:r w:rsidR="00B32C55">
              <w:t>ee</w:t>
            </w:r>
            <w:r>
              <w:t xml:space="preserve"> our response to</w:t>
            </w:r>
            <w:r w:rsidR="00B32C55">
              <w:t xml:space="preserve"> item </w:t>
            </w:r>
            <w:r w:rsidR="00B32C55">
              <w:fldChar w:fldCharType="begin"/>
            </w:r>
            <w:r w:rsidR="00B32C55">
              <w:instrText xml:space="preserve"> REF _Ref94282662 \w \h </w:instrText>
            </w:r>
            <w:r w:rsidR="008E5475">
              <w:instrText xml:space="preserve"> \* MERGEFORMAT </w:instrText>
            </w:r>
            <w:r w:rsidR="00B32C55">
              <w:fldChar w:fldCharType="separate"/>
            </w:r>
            <w:r w:rsidR="004109B9">
              <w:t>18</w:t>
            </w:r>
            <w:r w:rsidR="00B32C55">
              <w:fldChar w:fldCharType="end"/>
            </w:r>
            <w:r w:rsidR="00B32C55">
              <w:t>.</w:t>
            </w:r>
          </w:p>
        </w:tc>
      </w:tr>
      <w:tr w:rsidR="00A41883" w14:paraId="1C080B9E" w14:textId="77777777" w:rsidTr="0069133E">
        <w:tc>
          <w:tcPr>
            <w:tcW w:w="704" w:type="dxa"/>
          </w:tcPr>
          <w:p w14:paraId="52A63D43" w14:textId="77777777" w:rsidR="00A41883" w:rsidRDefault="00A41883" w:rsidP="00A41883">
            <w:pPr>
              <w:pStyle w:val="Tabletext"/>
              <w:numPr>
                <w:ilvl w:val="0"/>
                <w:numId w:val="20"/>
              </w:numPr>
            </w:pPr>
          </w:p>
        </w:tc>
        <w:tc>
          <w:tcPr>
            <w:tcW w:w="5954" w:type="dxa"/>
          </w:tcPr>
          <w:p w14:paraId="4E89277A" w14:textId="77777777" w:rsidR="00A41883" w:rsidRDefault="00A41883" w:rsidP="008E5475">
            <w:pPr>
              <w:pStyle w:val="Tabletext"/>
            </w:pPr>
            <w:r>
              <w:t>Should the exception for sport apply a wider range of protected attributes under the Discrimination Act?</w:t>
            </w:r>
          </w:p>
        </w:tc>
        <w:tc>
          <w:tcPr>
            <w:tcW w:w="6884" w:type="dxa"/>
          </w:tcPr>
          <w:p w14:paraId="7EBC61FC" w14:textId="7BFB6887" w:rsidR="00A41883" w:rsidRDefault="00A41883" w:rsidP="008E5475">
            <w:pPr>
              <w:pStyle w:val="Tabletext"/>
            </w:pPr>
            <w:r>
              <w:t>No</w:t>
            </w:r>
            <w:r w:rsidR="000F51A3">
              <w:t>, see</w:t>
            </w:r>
            <w:r w:rsidR="00230E38">
              <w:t xml:space="preserve"> our response to</w:t>
            </w:r>
            <w:r w:rsidR="000F51A3">
              <w:t xml:space="preserve"> </w:t>
            </w:r>
            <w:r w:rsidR="00B32C55">
              <w:t xml:space="preserve">item </w:t>
            </w:r>
            <w:r w:rsidR="00B32C55">
              <w:fldChar w:fldCharType="begin"/>
            </w:r>
            <w:r w:rsidR="00B32C55">
              <w:instrText xml:space="preserve"> REF _Ref94282662 \w \h </w:instrText>
            </w:r>
            <w:r w:rsidR="008E5475">
              <w:instrText xml:space="preserve"> \* MERGEFORMAT </w:instrText>
            </w:r>
            <w:r w:rsidR="00B32C55">
              <w:fldChar w:fldCharType="separate"/>
            </w:r>
            <w:r w:rsidR="004109B9">
              <w:t>18</w:t>
            </w:r>
            <w:r w:rsidR="00B32C55">
              <w:fldChar w:fldCharType="end"/>
            </w:r>
            <w:r w:rsidR="00B32C55">
              <w:t>.</w:t>
            </w:r>
          </w:p>
        </w:tc>
      </w:tr>
      <w:tr w:rsidR="00A41883" w14:paraId="05CCDDC6" w14:textId="77777777" w:rsidTr="0069133E">
        <w:tc>
          <w:tcPr>
            <w:tcW w:w="13542" w:type="dxa"/>
            <w:gridSpan w:val="3"/>
            <w:shd w:val="clear" w:color="auto" w:fill="C7EDFF" w:themeFill="accent1" w:themeFillTint="33"/>
          </w:tcPr>
          <w:p w14:paraId="7BB264AB" w14:textId="3F4B7D7C" w:rsidR="00A41883" w:rsidRDefault="00A41883" w:rsidP="0069133E">
            <w:pPr>
              <w:keepNext/>
            </w:pPr>
            <w:r>
              <w:rPr>
                <w:b/>
                <w:bCs/>
              </w:rPr>
              <w:t xml:space="preserve">Exceptions </w:t>
            </w:r>
            <w:r w:rsidR="006868A7">
              <w:rPr>
                <w:b/>
                <w:bCs/>
              </w:rPr>
              <w:t>r</w:t>
            </w:r>
            <w:r>
              <w:rPr>
                <w:b/>
                <w:bCs/>
              </w:rPr>
              <w:t xml:space="preserve">elating to </w:t>
            </w:r>
            <w:r w:rsidR="006868A7">
              <w:rPr>
                <w:b/>
                <w:bCs/>
              </w:rPr>
              <w:t>w</w:t>
            </w:r>
            <w:r>
              <w:rPr>
                <w:b/>
                <w:bCs/>
              </w:rPr>
              <w:t>ork</w:t>
            </w:r>
          </w:p>
        </w:tc>
      </w:tr>
      <w:tr w:rsidR="00A41883" w14:paraId="4FF8FD9D" w14:textId="77777777" w:rsidTr="0069133E">
        <w:tc>
          <w:tcPr>
            <w:tcW w:w="704" w:type="dxa"/>
          </w:tcPr>
          <w:p w14:paraId="1F64ACE7" w14:textId="77777777" w:rsidR="00A41883" w:rsidRDefault="00A41883" w:rsidP="00A41883">
            <w:pPr>
              <w:pStyle w:val="Tabletext"/>
              <w:numPr>
                <w:ilvl w:val="0"/>
                <w:numId w:val="20"/>
              </w:numPr>
            </w:pPr>
          </w:p>
        </w:tc>
        <w:tc>
          <w:tcPr>
            <w:tcW w:w="5954" w:type="dxa"/>
          </w:tcPr>
          <w:p w14:paraId="7449E7B1" w14:textId="77777777" w:rsidR="00A41883" w:rsidRPr="00104130" w:rsidRDefault="00A41883" w:rsidP="008E5475">
            <w:pPr>
              <w:pStyle w:val="Tabletext"/>
            </w:pPr>
            <w:r>
              <w:t xml:space="preserve">Should the employment exceptions be extended to apply to a wider range of protected attributes? </w:t>
            </w:r>
          </w:p>
        </w:tc>
        <w:tc>
          <w:tcPr>
            <w:tcW w:w="6884" w:type="dxa"/>
          </w:tcPr>
          <w:p w14:paraId="075ABEDA" w14:textId="588A3B3C" w:rsidR="00A41883" w:rsidRDefault="00A41883" w:rsidP="008E5475">
            <w:pPr>
              <w:pStyle w:val="Tabletext"/>
            </w:pPr>
            <w:r>
              <w:t xml:space="preserve">Generally, we do not support expanding exceptions unless such an expansion is </w:t>
            </w:r>
            <w:r w:rsidR="00FD46EC">
              <w:t xml:space="preserve">actually </w:t>
            </w:r>
            <w:r>
              <w:t>necessary</w:t>
            </w:r>
            <w:r w:rsidR="00AB31F2">
              <w:t xml:space="preserve">. </w:t>
            </w:r>
            <w:r w:rsidR="00117B08">
              <w:t>There are already a number of exemptions available under the Act, including the possibility of seeking temporary exemptions</w:t>
            </w:r>
            <w:r w:rsidR="00FD4F44">
              <w:t>.</w:t>
            </w:r>
          </w:p>
          <w:p w14:paraId="0A5091E0" w14:textId="27C7B020" w:rsidR="00FD4F44" w:rsidRDefault="00FD4F44" w:rsidP="008E5475">
            <w:pPr>
              <w:pStyle w:val="Tabletext"/>
            </w:pPr>
            <w:r>
              <w:t>If employers</w:t>
            </w:r>
            <w:r w:rsidRPr="007144A2">
              <w:t xml:space="preserve"> need a specific exemption in respect of another attribute, the onus should be on them to clearly explain what dispensations they need and in which contexts, such that a more reasonable and targeted exemption could be framed</w:t>
            </w:r>
            <w:r>
              <w:t>.</w:t>
            </w:r>
          </w:p>
        </w:tc>
      </w:tr>
      <w:tr w:rsidR="00A41883" w14:paraId="3CC48C9B" w14:textId="77777777" w:rsidTr="0069133E">
        <w:tc>
          <w:tcPr>
            <w:tcW w:w="704" w:type="dxa"/>
          </w:tcPr>
          <w:p w14:paraId="1E265591" w14:textId="77777777" w:rsidR="00A41883" w:rsidRDefault="00A41883" w:rsidP="00A41883">
            <w:pPr>
              <w:pStyle w:val="Tabletext"/>
              <w:numPr>
                <w:ilvl w:val="0"/>
                <w:numId w:val="20"/>
              </w:numPr>
            </w:pPr>
          </w:p>
        </w:tc>
        <w:tc>
          <w:tcPr>
            <w:tcW w:w="5954" w:type="dxa"/>
          </w:tcPr>
          <w:p w14:paraId="3FAD53DF" w14:textId="77777777" w:rsidR="00A41883" w:rsidRDefault="00A41883" w:rsidP="008E5475">
            <w:pPr>
              <w:pStyle w:val="Tabletext"/>
            </w:pPr>
            <w:r>
              <w:t>Should the law impose a duty to make reasonable adjustments not just for people with disabilities, but for people with any protected attribute? For example, such a duty might require an employer to permit an employee to vary their working hours because of family responsibilities, provided that the employee could still perform all essential work.</w:t>
            </w:r>
          </w:p>
        </w:tc>
        <w:tc>
          <w:tcPr>
            <w:tcW w:w="6884" w:type="dxa"/>
          </w:tcPr>
          <w:p w14:paraId="777774B0" w14:textId="6F962AF6" w:rsidR="00A41883" w:rsidRDefault="00A41883" w:rsidP="008E5475">
            <w:pPr>
              <w:pStyle w:val="Tabletext"/>
            </w:pPr>
            <w:r>
              <w:t xml:space="preserve">We believe this </w:t>
            </w:r>
            <w:r w:rsidR="00E2202E">
              <w:t xml:space="preserve">is already </w:t>
            </w:r>
            <w:r>
              <w:t xml:space="preserve">implied under the definition of </w:t>
            </w:r>
            <w:r w:rsidR="00527852">
              <w:t>‘</w:t>
            </w:r>
            <w:r>
              <w:t>indirect discrimination</w:t>
            </w:r>
            <w:r w:rsidR="00527852">
              <w:t>’, and is not necessary</w:t>
            </w:r>
            <w:r w:rsidR="00AB31F2">
              <w:t xml:space="preserve">. </w:t>
            </w:r>
            <w:r w:rsidR="00527852">
              <w:t xml:space="preserve">Further, </w:t>
            </w:r>
            <w:r>
              <w:t xml:space="preserve">as discussed in </w:t>
            </w:r>
            <w:r w:rsidR="008E5475">
              <w:t xml:space="preserve">section </w:t>
            </w:r>
            <w:r w:rsidR="008E5475">
              <w:fldChar w:fldCharType="begin"/>
            </w:r>
            <w:r w:rsidR="008E5475">
              <w:instrText xml:space="preserve"> REF _Ref94283067 \w \h  \* MERGEFORMAT </w:instrText>
            </w:r>
            <w:r w:rsidR="008E5475">
              <w:fldChar w:fldCharType="separate"/>
            </w:r>
            <w:r w:rsidR="004109B9">
              <w:t>3</w:t>
            </w:r>
            <w:r w:rsidR="008E5475">
              <w:fldChar w:fldCharType="end"/>
            </w:r>
            <w:r>
              <w:t xml:space="preserve"> of this submission, amendments to the Act </w:t>
            </w:r>
            <w:r w:rsidR="008E5475">
              <w:t>could</w:t>
            </w:r>
            <w:r>
              <w:t xml:space="preserve"> be made to introduce a positive duty to take reasonable and proportionate steps to </w:t>
            </w:r>
            <w:r w:rsidR="0014424D">
              <w:t>promote equality</w:t>
            </w:r>
            <w:r>
              <w:t>.</w:t>
            </w:r>
          </w:p>
        </w:tc>
      </w:tr>
      <w:tr w:rsidR="00A41883" w14:paraId="199F9EC9" w14:textId="77777777" w:rsidTr="0069133E">
        <w:tc>
          <w:tcPr>
            <w:tcW w:w="13542" w:type="dxa"/>
            <w:gridSpan w:val="3"/>
            <w:shd w:val="clear" w:color="auto" w:fill="C7EDFF" w:themeFill="accent1" w:themeFillTint="33"/>
          </w:tcPr>
          <w:p w14:paraId="5B52FC23" w14:textId="58E7DBF7" w:rsidR="00A41883" w:rsidRDefault="00A41883" w:rsidP="0069133E">
            <w:pPr>
              <w:keepNext/>
            </w:pPr>
            <w:r>
              <w:rPr>
                <w:b/>
                <w:bCs/>
              </w:rPr>
              <w:t xml:space="preserve">Exceptions for </w:t>
            </w:r>
            <w:r w:rsidR="00A85DC1">
              <w:rPr>
                <w:b/>
                <w:bCs/>
              </w:rPr>
              <w:t>i</w:t>
            </w:r>
            <w:r>
              <w:rPr>
                <w:b/>
                <w:bCs/>
              </w:rPr>
              <w:t xml:space="preserve">nsurance and </w:t>
            </w:r>
            <w:r w:rsidR="00A85DC1">
              <w:rPr>
                <w:b/>
                <w:bCs/>
              </w:rPr>
              <w:t>s</w:t>
            </w:r>
            <w:r>
              <w:rPr>
                <w:b/>
                <w:bCs/>
              </w:rPr>
              <w:t xml:space="preserve">uperannuation </w:t>
            </w:r>
            <w:r w:rsidR="00A85DC1">
              <w:rPr>
                <w:b/>
                <w:bCs/>
              </w:rPr>
              <w:t>c</w:t>
            </w:r>
            <w:r>
              <w:rPr>
                <w:b/>
                <w:bCs/>
              </w:rPr>
              <w:t>ompanies</w:t>
            </w:r>
          </w:p>
        </w:tc>
      </w:tr>
      <w:tr w:rsidR="00A41883" w14:paraId="72C174AB" w14:textId="77777777" w:rsidTr="0069133E">
        <w:tc>
          <w:tcPr>
            <w:tcW w:w="704" w:type="dxa"/>
          </w:tcPr>
          <w:p w14:paraId="1B9B5738" w14:textId="77777777" w:rsidR="00A41883" w:rsidRDefault="00A41883" w:rsidP="00A41883">
            <w:pPr>
              <w:pStyle w:val="Tabletext"/>
              <w:numPr>
                <w:ilvl w:val="0"/>
                <w:numId w:val="20"/>
              </w:numPr>
            </w:pPr>
          </w:p>
        </w:tc>
        <w:tc>
          <w:tcPr>
            <w:tcW w:w="5954" w:type="dxa"/>
          </w:tcPr>
          <w:p w14:paraId="316DBCC9" w14:textId="77777777" w:rsidR="00A41883" w:rsidRPr="00104130" w:rsidRDefault="00A41883" w:rsidP="00CD4EC4">
            <w:pPr>
              <w:pStyle w:val="Tabletext"/>
            </w:pPr>
            <w:r>
              <w:t>Should insurance and superannuation providers only be permitted to discriminate where their decisions are based on actuarial or statistical data?</w:t>
            </w:r>
          </w:p>
        </w:tc>
        <w:tc>
          <w:tcPr>
            <w:tcW w:w="6884" w:type="dxa"/>
          </w:tcPr>
          <w:p w14:paraId="713E0136" w14:textId="7714B7B9" w:rsidR="00A41883" w:rsidRDefault="00A41883" w:rsidP="00CD4EC4">
            <w:pPr>
              <w:pStyle w:val="Tabletext"/>
            </w:pPr>
            <w:r>
              <w:t>In our view,</w:t>
            </w:r>
            <w:r w:rsidR="00CD4EC4">
              <w:t xml:space="preserve"> the</w:t>
            </w:r>
            <w:r>
              <w:t xml:space="preserve"> exception </w:t>
            </w:r>
            <w:r w:rsidR="00CD4EC4">
              <w:t>could</w:t>
            </w:r>
            <w:r>
              <w:t xml:space="preserve"> be narrowed to where discrimination is justified by evidence, such as on the basis of actuarial or statistical data from a source on which it is reasonable for the discriminator to rely and where such discrimination is reasonable having regard to such data and any other relevant factors. The approach taken in the </w:t>
            </w:r>
            <w:r>
              <w:rPr>
                <w:i/>
                <w:iCs/>
              </w:rPr>
              <w:t xml:space="preserve">Sex Discrimination Act 1984 </w:t>
            </w:r>
            <w:r>
              <w:t>(Cth) could be considered as a starting point.</w:t>
            </w:r>
            <w:r>
              <w:rPr>
                <w:rStyle w:val="FootnoteReference"/>
              </w:rPr>
              <w:footnoteReference w:id="50"/>
            </w:r>
            <w:r>
              <w:t xml:space="preserve"> </w:t>
            </w:r>
            <w:r w:rsidR="00CD4EC4">
              <w:t xml:space="preserve"> </w:t>
            </w:r>
            <w:r>
              <w:t>However, further consideration will be required to assess the full impact of such an exception.</w:t>
            </w:r>
          </w:p>
        </w:tc>
      </w:tr>
      <w:tr w:rsidR="00A41883" w14:paraId="3DD64E81" w14:textId="77777777" w:rsidTr="0069133E">
        <w:tc>
          <w:tcPr>
            <w:tcW w:w="704" w:type="dxa"/>
          </w:tcPr>
          <w:p w14:paraId="02A5AE4C" w14:textId="77777777" w:rsidR="00A41883" w:rsidRDefault="00A41883" w:rsidP="00A41883">
            <w:pPr>
              <w:pStyle w:val="Tabletext"/>
              <w:numPr>
                <w:ilvl w:val="0"/>
                <w:numId w:val="20"/>
              </w:numPr>
            </w:pPr>
          </w:p>
        </w:tc>
        <w:tc>
          <w:tcPr>
            <w:tcW w:w="5954" w:type="dxa"/>
          </w:tcPr>
          <w:p w14:paraId="291C5BEC" w14:textId="77777777" w:rsidR="00A41883" w:rsidRPr="00CD4EC4" w:rsidRDefault="00A41883" w:rsidP="00CD4EC4">
            <w:pPr>
              <w:pStyle w:val="Tabletext"/>
            </w:pPr>
            <w:r w:rsidRPr="00CD4EC4">
              <w:t>Should insurance and superannuation providers be required to provide consumers with the data on which decisions about them are based (or a meaningful explanation of that data)?</w:t>
            </w:r>
          </w:p>
        </w:tc>
        <w:tc>
          <w:tcPr>
            <w:tcW w:w="6884" w:type="dxa"/>
          </w:tcPr>
          <w:p w14:paraId="3FFF3D0F" w14:textId="77777777" w:rsidR="00A41883" w:rsidRPr="00CD4EC4" w:rsidRDefault="00A41883" w:rsidP="00CD4EC4">
            <w:pPr>
              <w:pStyle w:val="Tabletext"/>
            </w:pPr>
            <w:r w:rsidRPr="00CD4EC4">
              <w:t xml:space="preserve">Yes, particularly where discrimination occurs on the basis of actuarial or statistical data. </w:t>
            </w:r>
          </w:p>
        </w:tc>
      </w:tr>
      <w:tr w:rsidR="00A41883" w14:paraId="300AA728" w14:textId="77777777" w:rsidTr="0069133E">
        <w:tc>
          <w:tcPr>
            <w:tcW w:w="13542" w:type="dxa"/>
            <w:gridSpan w:val="3"/>
            <w:shd w:val="clear" w:color="auto" w:fill="C7EDFF" w:themeFill="accent1" w:themeFillTint="33"/>
          </w:tcPr>
          <w:p w14:paraId="618E6D79" w14:textId="502E90C6" w:rsidR="00A41883" w:rsidRDefault="00A41883" w:rsidP="0069133E">
            <w:pPr>
              <w:keepNext/>
            </w:pPr>
            <w:r>
              <w:rPr>
                <w:b/>
                <w:bCs/>
              </w:rPr>
              <w:t xml:space="preserve">Positive </w:t>
            </w:r>
            <w:r w:rsidR="00F46F1B">
              <w:rPr>
                <w:b/>
                <w:bCs/>
              </w:rPr>
              <w:t>d</w:t>
            </w:r>
            <w:r>
              <w:rPr>
                <w:b/>
                <w:bCs/>
              </w:rPr>
              <w:t xml:space="preserve">uty to </w:t>
            </w:r>
            <w:r w:rsidR="00F46F1B">
              <w:rPr>
                <w:b/>
                <w:bCs/>
              </w:rPr>
              <w:t>e</w:t>
            </w:r>
            <w:r>
              <w:rPr>
                <w:b/>
                <w:bCs/>
              </w:rPr>
              <w:t xml:space="preserve">liminate </w:t>
            </w:r>
            <w:r w:rsidR="00F46F1B">
              <w:rPr>
                <w:b/>
                <w:bCs/>
              </w:rPr>
              <w:t>d</w:t>
            </w:r>
            <w:r>
              <w:rPr>
                <w:b/>
                <w:bCs/>
              </w:rPr>
              <w:t>iscrimination</w:t>
            </w:r>
          </w:p>
        </w:tc>
      </w:tr>
      <w:tr w:rsidR="00A41883" w14:paraId="1243FAA7" w14:textId="77777777" w:rsidTr="0069133E">
        <w:tc>
          <w:tcPr>
            <w:tcW w:w="704" w:type="dxa"/>
          </w:tcPr>
          <w:p w14:paraId="23BB6819" w14:textId="77777777" w:rsidR="00A41883" w:rsidRDefault="00A41883" w:rsidP="00A41883">
            <w:pPr>
              <w:pStyle w:val="Tabletext"/>
              <w:numPr>
                <w:ilvl w:val="0"/>
                <w:numId w:val="20"/>
              </w:numPr>
            </w:pPr>
          </w:p>
        </w:tc>
        <w:tc>
          <w:tcPr>
            <w:tcW w:w="5954" w:type="dxa"/>
          </w:tcPr>
          <w:p w14:paraId="67955442" w14:textId="77777777" w:rsidR="00A41883" w:rsidRPr="00160DC3" w:rsidRDefault="00A41883" w:rsidP="0069133E">
            <w:pPr>
              <w:rPr>
                <w:b/>
                <w:bCs/>
              </w:rPr>
            </w:pPr>
            <w:r>
              <w:t xml:space="preserve">Should a positive duty to eliminate discrimination be introduced into the Discrimination Act? </w:t>
            </w:r>
          </w:p>
        </w:tc>
        <w:tc>
          <w:tcPr>
            <w:tcW w:w="6884" w:type="dxa"/>
          </w:tcPr>
          <w:p w14:paraId="66CE4543" w14:textId="3078D27F" w:rsidR="00A41883" w:rsidRDefault="00A41883" w:rsidP="0069133E">
            <w:r>
              <w:t>Yes</w:t>
            </w:r>
            <w:r w:rsidR="00CD4EC4">
              <w:t xml:space="preserve">, see our submissions in section </w:t>
            </w:r>
            <w:r w:rsidR="00CD4EC4">
              <w:fldChar w:fldCharType="begin"/>
            </w:r>
            <w:r w:rsidR="00CD4EC4">
              <w:instrText xml:space="preserve"> REF _Ref94283257 \w \h </w:instrText>
            </w:r>
            <w:r w:rsidR="00CD4EC4">
              <w:fldChar w:fldCharType="separate"/>
            </w:r>
            <w:r w:rsidR="004109B9">
              <w:t>3</w:t>
            </w:r>
            <w:r w:rsidR="00CD4EC4">
              <w:fldChar w:fldCharType="end"/>
            </w:r>
            <w:r w:rsidR="00CD4EC4">
              <w:t xml:space="preserve"> above.</w:t>
            </w:r>
          </w:p>
        </w:tc>
      </w:tr>
      <w:tr w:rsidR="00A41883" w14:paraId="7F31E627" w14:textId="77777777" w:rsidTr="0069133E">
        <w:tc>
          <w:tcPr>
            <w:tcW w:w="704" w:type="dxa"/>
          </w:tcPr>
          <w:p w14:paraId="54F38DF1" w14:textId="77777777" w:rsidR="00A41883" w:rsidRDefault="00A41883" w:rsidP="00A41883">
            <w:pPr>
              <w:pStyle w:val="Tabletext"/>
              <w:numPr>
                <w:ilvl w:val="0"/>
                <w:numId w:val="20"/>
              </w:numPr>
            </w:pPr>
            <w:bookmarkStart w:id="39" w:name="_Ref90940254"/>
          </w:p>
        </w:tc>
        <w:bookmarkEnd w:id="39"/>
        <w:tc>
          <w:tcPr>
            <w:tcW w:w="5954" w:type="dxa"/>
          </w:tcPr>
          <w:p w14:paraId="1E993603" w14:textId="77777777" w:rsidR="00A41883" w:rsidRPr="0011532A" w:rsidRDefault="00A41883" w:rsidP="00CD4EC4">
            <w:pPr>
              <w:pStyle w:val="Tabletext"/>
              <w:rPr>
                <w:b/>
                <w:bCs/>
              </w:rPr>
            </w:pPr>
            <w:r>
              <w:t>Should be duty apply to public bodies, or private businesses and organisations, or both, and how should this be implemented?</w:t>
            </w:r>
          </w:p>
        </w:tc>
        <w:tc>
          <w:tcPr>
            <w:tcW w:w="6884" w:type="dxa"/>
          </w:tcPr>
          <w:p w14:paraId="76B9D44C" w14:textId="77777777" w:rsidR="00A41883" w:rsidRDefault="00A41883" w:rsidP="00CD4EC4">
            <w:pPr>
              <w:pStyle w:val="Tabletext"/>
            </w:pPr>
            <w:r>
              <w:t>A positive duty should apply to both public bodies and private businesses and organisations, similar to the approach taken in Victoria.</w:t>
            </w:r>
            <w:r>
              <w:rPr>
                <w:rStyle w:val="FootnoteReference"/>
              </w:rPr>
              <w:footnoteReference w:id="51"/>
            </w:r>
            <w:r>
              <w:t xml:space="preserve"> </w:t>
            </w:r>
          </w:p>
          <w:p w14:paraId="52126530" w14:textId="47868836" w:rsidR="00A41883" w:rsidRDefault="00A41883" w:rsidP="00CD4EC4">
            <w:pPr>
              <w:pStyle w:val="Tabletext"/>
            </w:pPr>
            <w:r>
              <w:t>In Victoria, a person must take reasonable and proportionate measures to eliminate discrimination, sexual harassment or victimisation</w:t>
            </w:r>
            <w:r w:rsidR="00AB31F2">
              <w:t xml:space="preserve">. </w:t>
            </w:r>
            <w:r>
              <w:t>In determining whether a measure is reasonable and proportionate, the following factors are considered:</w:t>
            </w:r>
          </w:p>
          <w:p w14:paraId="26C0CCC3" w14:textId="77777777" w:rsidR="00A41883" w:rsidRPr="00CD4EC4" w:rsidRDefault="00A41883" w:rsidP="00CD4EC4">
            <w:pPr>
              <w:pStyle w:val="Bullet"/>
            </w:pPr>
            <w:r w:rsidRPr="00CD4EC4">
              <w:t>the size of the person's business or operations;</w:t>
            </w:r>
          </w:p>
          <w:p w14:paraId="4D7C2503" w14:textId="77777777" w:rsidR="00A41883" w:rsidRPr="00CD4EC4" w:rsidRDefault="00A41883" w:rsidP="00CD4EC4">
            <w:pPr>
              <w:pStyle w:val="Bullet"/>
            </w:pPr>
            <w:r w:rsidRPr="00CD4EC4">
              <w:t>the nature and circumstances of the person's business or operations;</w:t>
            </w:r>
          </w:p>
          <w:p w14:paraId="2EA4CB91" w14:textId="77777777" w:rsidR="00A41883" w:rsidRPr="00CD4EC4" w:rsidRDefault="00A41883" w:rsidP="00CD4EC4">
            <w:pPr>
              <w:pStyle w:val="Bullet"/>
            </w:pPr>
            <w:r w:rsidRPr="00CD4EC4">
              <w:t>the person's resources;</w:t>
            </w:r>
          </w:p>
          <w:p w14:paraId="03224D99" w14:textId="77777777" w:rsidR="00A41883" w:rsidRPr="00CD4EC4" w:rsidRDefault="00A41883" w:rsidP="00CD4EC4">
            <w:pPr>
              <w:pStyle w:val="Bullet"/>
            </w:pPr>
            <w:r w:rsidRPr="00CD4EC4">
              <w:t>the person's business and operational priorities; and</w:t>
            </w:r>
          </w:p>
          <w:p w14:paraId="602A99A7" w14:textId="77777777" w:rsidR="00A41883" w:rsidRDefault="00A41883" w:rsidP="00CD4EC4">
            <w:pPr>
              <w:pStyle w:val="Bullet"/>
            </w:pPr>
            <w:r w:rsidRPr="00CD4EC4">
              <w:t>the practicability and the cost of the measures.</w:t>
            </w:r>
          </w:p>
          <w:p w14:paraId="5607AAD7" w14:textId="2130A633" w:rsidR="00CD4EC4" w:rsidRDefault="00CD4EC4" w:rsidP="00CD4EC4">
            <w:pPr>
              <w:pStyle w:val="Tabletext"/>
            </w:pPr>
            <w:r>
              <w:t xml:space="preserve">For further detail, see our submissions in section </w:t>
            </w:r>
            <w:r>
              <w:fldChar w:fldCharType="begin"/>
            </w:r>
            <w:r>
              <w:instrText xml:space="preserve"> REF _Ref94283257 \w \h </w:instrText>
            </w:r>
            <w:r>
              <w:fldChar w:fldCharType="separate"/>
            </w:r>
            <w:r w:rsidR="004109B9">
              <w:t>3</w:t>
            </w:r>
            <w:r>
              <w:fldChar w:fldCharType="end"/>
            </w:r>
            <w:r>
              <w:t xml:space="preserve"> above.</w:t>
            </w:r>
          </w:p>
        </w:tc>
      </w:tr>
      <w:tr w:rsidR="00A41883" w14:paraId="6292AC97" w14:textId="77777777" w:rsidTr="0069133E">
        <w:tc>
          <w:tcPr>
            <w:tcW w:w="704" w:type="dxa"/>
          </w:tcPr>
          <w:p w14:paraId="3857542A" w14:textId="77777777" w:rsidR="00A41883" w:rsidRDefault="00A41883" w:rsidP="00A41883">
            <w:pPr>
              <w:pStyle w:val="Tabletext"/>
              <w:numPr>
                <w:ilvl w:val="0"/>
                <w:numId w:val="20"/>
              </w:numPr>
            </w:pPr>
            <w:bookmarkStart w:id="40" w:name="_Ref90940267"/>
          </w:p>
        </w:tc>
        <w:bookmarkEnd w:id="40"/>
        <w:tc>
          <w:tcPr>
            <w:tcW w:w="5954" w:type="dxa"/>
          </w:tcPr>
          <w:p w14:paraId="09449B9D" w14:textId="77777777" w:rsidR="00A41883" w:rsidRPr="0011532A" w:rsidRDefault="00A41883" w:rsidP="00CD4EC4">
            <w:pPr>
              <w:pStyle w:val="Tabletext"/>
              <w:rPr>
                <w:b/>
                <w:bCs/>
              </w:rPr>
            </w:pPr>
            <w:r>
              <w:t>How would the duty be applied to organisations of different sizes and with different levels of available resources?</w:t>
            </w:r>
          </w:p>
        </w:tc>
        <w:tc>
          <w:tcPr>
            <w:tcW w:w="6884" w:type="dxa"/>
          </w:tcPr>
          <w:p w14:paraId="28128D09" w14:textId="4F828983" w:rsidR="00A41883" w:rsidRDefault="00A41883" w:rsidP="00CD4EC4">
            <w:pPr>
              <w:pStyle w:val="Tabletext"/>
            </w:pPr>
            <w:r>
              <w:t>As discussed in section</w:t>
            </w:r>
            <w:r w:rsidR="00CD4EC4">
              <w:t xml:space="preserve"> </w:t>
            </w:r>
            <w:r w:rsidR="00CD4EC4">
              <w:fldChar w:fldCharType="begin"/>
            </w:r>
            <w:r w:rsidR="00CD4EC4">
              <w:instrText xml:space="preserve"> REF _Ref94283257 \w \h  \* MERGEFORMAT </w:instrText>
            </w:r>
            <w:r w:rsidR="00CD4EC4">
              <w:fldChar w:fldCharType="separate"/>
            </w:r>
            <w:r w:rsidR="004109B9">
              <w:t>3</w:t>
            </w:r>
            <w:r w:rsidR="00CD4EC4">
              <w:fldChar w:fldCharType="end"/>
            </w:r>
            <w:r w:rsidR="00CD4EC4">
              <w:t xml:space="preserve"> </w:t>
            </w:r>
            <w:r>
              <w:t>of this submission, an effective positive duty needs to be clearly expressed and be supported by reporting requirements, enforcement powers and functions (with appropriate resourcing). Guidance on best practice should also be developed to support organisations to meet their positive duties</w:t>
            </w:r>
            <w:r w:rsidR="00AB31F2">
              <w:t xml:space="preserve">. </w:t>
            </w:r>
          </w:p>
          <w:p w14:paraId="4CB2B3F4" w14:textId="4A2AE084" w:rsidR="0010760D" w:rsidRDefault="00A41883" w:rsidP="00CD4EC4">
            <w:pPr>
              <w:pStyle w:val="Tabletext"/>
            </w:pPr>
            <w:r>
              <w:t xml:space="preserve">Further, as discussed in item </w:t>
            </w:r>
            <w:r>
              <w:fldChar w:fldCharType="begin"/>
            </w:r>
            <w:r>
              <w:instrText xml:space="preserve"> REF _Ref90940254 \w \h </w:instrText>
            </w:r>
            <w:r w:rsidR="00CD4EC4">
              <w:instrText xml:space="preserve"> \* MERGEFORMAT </w:instrText>
            </w:r>
            <w:r>
              <w:fldChar w:fldCharType="separate"/>
            </w:r>
            <w:r w:rsidR="004109B9">
              <w:t>26</w:t>
            </w:r>
            <w:r>
              <w:fldChar w:fldCharType="end"/>
            </w:r>
            <w:r>
              <w:t xml:space="preserve"> above, the size, nature and resources of a business should be taken into account when determining whether a measure is reasonable and proportionate to be taken to prevent discrimination.</w:t>
            </w:r>
          </w:p>
          <w:p w14:paraId="6AB9522E" w14:textId="7EAE72FA" w:rsidR="00815EBF" w:rsidRDefault="00815EBF" w:rsidP="00CD4EC4">
            <w:pPr>
              <w:pStyle w:val="Tabletext"/>
            </w:pPr>
            <w:r>
              <w:t>We have also suggested ways that, at least for the public sector, the duty could be framed as a positive duty to advance equality of outcomes.</w:t>
            </w:r>
          </w:p>
        </w:tc>
      </w:tr>
      <w:tr w:rsidR="00A41883" w14:paraId="133B2D4D" w14:textId="77777777" w:rsidTr="0069133E">
        <w:tc>
          <w:tcPr>
            <w:tcW w:w="704" w:type="dxa"/>
          </w:tcPr>
          <w:p w14:paraId="2FF3FCB1" w14:textId="77777777" w:rsidR="00A41883" w:rsidRDefault="00A41883" w:rsidP="00A41883">
            <w:pPr>
              <w:pStyle w:val="Tabletext"/>
              <w:numPr>
                <w:ilvl w:val="0"/>
                <w:numId w:val="20"/>
              </w:numPr>
            </w:pPr>
          </w:p>
        </w:tc>
        <w:tc>
          <w:tcPr>
            <w:tcW w:w="5954" w:type="dxa"/>
          </w:tcPr>
          <w:p w14:paraId="3E31D1FE" w14:textId="77777777" w:rsidR="00A41883" w:rsidRPr="0011532A" w:rsidRDefault="00A41883" w:rsidP="00CD4EC4">
            <w:pPr>
              <w:pStyle w:val="Tabletext"/>
              <w:rPr>
                <w:b/>
                <w:bCs/>
              </w:rPr>
            </w:pPr>
            <w:r>
              <w:t>How would organisations be supported to meet the positive duty?</w:t>
            </w:r>
          </w:p>
        </w:tc>
        <w:tc>
          <w:tcPr>
            <w:tcW w:w="6884" w:type="dxa"/>
          </w:tcPr>
          <w:p w14:paraId="1851BFE3" w14:textId="4F12B025" w:rsidR="00A41883" w:rsidRDefault="00A41883" w:rsidP="00CD4EC4">
            <w:pPr>
              <w:pStyle w:val="Tabletext"/>
            </w:pPr>
            <w:r>
              <w:t xml:space="preserve">As discussed in item </w:t>
            </w:r>
            <w:r>
              <w:fldChar w:fldCharType="begin"/>
            </w:r>
            <w:r>
              <w:instrText xml:space="preserve"> REF _Ref90940267 \w \h </w:instrText>
            </w:r>
            <w:r w:rsidR="00CD4EC4">
              <w:instrText xml:space="preserve"> \* MERGEFORMAT </w:instrText>
            </w:r>
            <w:r>
              <w:fldChar w:fldCharType="separate"/>
            </w:r>
            <w:r w:rsidR="004109B9">
              <w:t>27</w:t>
            </w:r>
            <w:r>
              <w:fldChar w:fldCharType="end"/>
            </w:r>
            <w:r>
              <w:t xml:space="preserve"> above, guidance on best practice should be developed to support organisations to meet their positive duties.</w:t>
            </w:r>
          </w:p>
        </w:tc>
      </w:tr>
      <w:tr w:rsidR="00A41883" w14:paraId="5D88EA32" w14:textId="77777777" w:rsidTr="0069133E">
        <w:tc>
          <w:tcPr>
            <w:tcW w:w="704" w:type="dxa"/>
          </w:tcPr>
          <w:p w14:paraId="6045A189" w14:textId="77777777" w:rsidR="00A41883" w:rsidRDefault="00A41883" w:rsidP="00A41883">
            <w:pPr>
              <w:pStyle w:val="Tabletext"/>
              <w:numPr>
                <w:ilvl w:val="0"/>
                <w:numId w:val="20"/>
              </w:numPr>
            </w:pPr>
            <w:bookmarkStart w:id="41" w:name="_Ref90940277"/>
          </w:p>
        </w:tc>
        <w:bookmarkEnd w:id="41"/>
        <w:tc>
          <w:tcPr>
            <w:tcW w:w="5954" w:type="dxa"/>
          </w:tcPr>
          <w:p w14:paraId="6A52F84F" w14:textId="77777777" w:rsidR="00A41883" w:rsidRPr="001149BF" w:rsidRDefault="00A41883" w:rsidP="00BF21F8">
            <w:pPr>
              <w:pStyle w:val="Tabletext"/>
              <w:rPr>
                <w:b/>
                <w:bCs/>
              </w:rPr>
            </w:pPr>
            <w:r>
              <w:t>What additional functions and powers would the Human Rights Commission need to monitor organisations to ensure they are meeting the positive duty?</w:t>
            </w:r>
          </w:p>
        </w:tc>
        <w:tc>
          <w:tcPr>
            <w:tcW w:w="6884" w:type="dxa"/>
          </w:tcPr>
          <w:p w14:paraId="0C0CCBFD" w14:textId="5D943A80" w:rsidR="00A41883" w:rsidRDefault="00A41883" w:rsidP="00BF21F8">
            <w:pPr>
              <w:pStyle w:val="Tabletext"/>
            </w:pPr>
            <w:r>
              <w:t xml:space="preserve">As discussed in </w:t>
            </w:r>
            <w:r w:rsidR="00046CAE">
              <w:t xml:space="preserve">section </w:t>
            </w:r>
            <w:r w:rsidR="00046CAE">
              <w:fldChar w:fldCharType="begin"/>
            </w:r>
            <w:r w:rsidR="00046CAE">
              <w:instrText xml:space="preserve"> REF _Ref94283257 \w \h  \* MERGEFORMAT </w:instrText>
            </w:r>
            <w:r w:rsidR="00046CAE">
              <w:fldChar w:fldCharType="separate"/>
            </w:r>
            <w:r w:rsidR="004109B9">
              <w:t>3</w:t>
            </w:r>
            <w:r w:rsidR="00046CAE">
              <w:fldChar w:fldCharType="end"/>
            </w:r>
            <w:r>
              <w:t xml:space="preserve"> of this submission, to be effective, positive duties need to have regulatory infrastructure and responses appropriate to the degree of any contravention to enable a regulatory agency to prosecute systemic </w:t>
            </w:r>
            <w:r w:rsidR="00046CAE">
              <w:t>or</w:t>
            </w:r>
            <w:r>
              <w:t xml:space="preserve"> serious discrimination against a class of persons.</w:t>
            </w:r>
          </w:p>
          <w:p w14:paraId="5F8ED223" w14:textId="2E6A6120" w:rsidR="00A41883" w:rsidRDefault="00A41883" w:rsidP="00BF21F8">
            <w:pPr>
              <w:pStyle w:val="Tabletext"/>
            </w:pPr>
            <w:r>
              <w:t>A regulatory agency should be empowered to investigate a potential breach of a positive duty, and take appropriate steps where a contravention has occurred</w:t>
            </w:r>
            <w:r w:rsidR="00AB31F2">
              <w:t xml:space="preserve">. </w:t>
            </w:r>
            <w:r>
              <w:t>The regulatory agency needs a toolbox of regulatory ‘carrots and sticks’; the ability to seek penalties or injunctions from a court for serious breaches and the ability to accept enforceable undertakings for organisations that are willing to improve their compliance</w:t>
            </w:r>
            <w:r w:rsidR="00AB31F2">
              <w:t xml:space="preserve">. </w:t>
            </w:r>
            <w:r>
              <w:t>Under this approach, individuals who have experienced discrimination become whistleblowers and witnesses to misconduct, rather than plaintiffs.</w:t>
            </w:r>
          </w:p>
          <w:p w14:paraId="61FA61DB" w14:textId="7AC275CB" w:rsidR="00BF21F8" w:rsidRDefault="00BF21F8" w:rsidP="00BF21F8">
            <w:pPr>
              <w:pStyle w:val="Tabletext"/>
            </w:pPr>
            <w:r>
              <w:t>We recommend analysing the existing powers of the Human Rights Commission against these principles, to see whether further powers are needed.</w:t>
            </w:r>
          </w:p>
        </w:tc>
      </w:tr>
      <w:tr w:rsidR="00A41883" w14:paraId="016F44D5" w14:textId="77777777" w:rsidTr="0069133E">
        <w:tc>
          <w:tcPr>
            <w:tcW w:w="704" w:type="dxa"/>
          </w:tcPr>
          <w:p w14:paraId="688D5F9F" w14:textId="77777777" w:rsidR="00A41883" w:rsidRDefault="00A41883" w:rsidP="00A41883">
            <w:pPr>
              <w:pStyle w:val="Tabletext"/>
              <w:numPr>
                <w:ilvl w:val="0"/>
                <w:numId w:val="20"/>
              </w:numPr>
            </w:pPr>
          </w:p>
        </w:tc>
        <w:tc>
          <w:tcPr>
            <w:tcW w:w="5954" w:type="dxa"/>
          </w:tcPr>
          <w:p w14:paraId="129A4057" w14:textId="77777777" w:rsidR="00A41883" w:rsidRPr="001149BF" w:rsidRDefault="00A41883" w:rsidP="00BF21F8">
            <w:pPr>
              <w:pStyle w:val="Tabletext"/>
              <w:rPr>
                <w:b/>
                <w:bCs/>
              </w:rPr>
            </w:pPr>
            <w:r>
              <w:t>What resources would be necessary to inform organisations of steps necessary to comply with the positive duty?</w:t>
            </w:r>
          </w:p>
        </w:tc>
        <w:tc>
          <w:tcPr>
            <w:tcW w:w="6884" w:type="dxa"/>
          </w:tcPr>
          <w:p w14:paraId="42A2FA75" w14:textId="6570C9A7" w:rsidR="00A41883" w:rsidRDefault="00A41883" w:rsidP="00BF21F8">
            <w:pPr>
              <w:pStyle w:val="Tabletext"/>
            </w:pPr>
            <w:r>
              <w:t xml:space="preserve">See item </w:t>
            </w:r>
            <w:r>
              <w:fldChar w:fldCharType="begin"/>
            </w:r>
            <w:r>
              <w:instrText xml:space="preserve"> REF _Ref90940277 \w \h </w:instrText>
            </w:r>
            <w:r w:rsidR="00BF21F8">
              <w:instrText xml:space="preserve"> \* MERGEFORMAT </w:instrText>
            </w:r>
            <w:r>
              <w:fldChar w:fldCharType="separate"/>
            </w:r>
            <w:r w:rsidR="004109B9">
              <w:t>29</w:t>
            </w:r>
            <w:r>
              <w:fldChar w:fldCharType="end"/>
            </w:r>
            <w:r>
              <w:t xml:space="preserve"> above.</w:t>
            </w:r>
          </w:p>
        </w:tc>
      </w:tr>
    </w:tbl>
    <w:p w14:paraId="7C343E39" w14:textId="77777777" w:rsidR="00B54D36" w:rsidRPr="005375D5" w:rsidRDefault="00B54D36" w:rsidP="00DD21D6">
      <w:pPr>
        <w:rPr>
          <w:rStyle w:val="PageNumber"/>
        </w:rPr>
      </w:pPr>
    </w:p>
    <w:sectPr w:rsidR="00B54D36" w:rsidRPr="005375D5" w:rsidSect="001F1114">
      <w:footerReference w:type="default" r:id="rId15"/>
      <w:pgSz w:w="16840" w:h="11907" w:orient="landscape" w:code="9"/>
      <w:pgMar w:top="1985" w:right="1644" w:bottom="1021" w:left="1644"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0092A" w14:textId="77777777" w:rsidR="004349C8" w:rsidRDefault="004349C8" w:rsidP="00CA34DF">
      <w:r>
        <w:separator/>
      </w:r>
    </w:p>
  </w:endnote>
  <w:endnote w:type="continuationSeparator" w:id="0">
    <w:p w14:paraId="1193A3D4" w14:textId="77777777" w:rsidR="004349C8" w:rsidRDefault="004349C8" w:rsidP="00CA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verpass Light">
    <w:panose1 w:val="00000400000000000000"/>
    <w:charset w:val="00"/>
    <w:family w:val="auto"/>
    <w:pitch w:val="variable"/>
    <w:sig w:usb0="00000007" w:usb1="00000020" w:usb2="00000000" w:usb3="00000000" w:csb0="00000093" w:csb1="00000000"/>
    <w:embedRegular r:id="rId1" w:fontKey="{11A1C865-6302-4E7E-AD2F-68FFC009FB7A}"/>
    <w:embedBold r:id="rId2" w:fontKey="{52064AA6-A007-46C6-99EE-AEB47B0C48F9}"/>
    <w:embedItalic r:id="rId3" w:fontKey="{562B32CB-B531-4AA8-80F8-9DD17E8EC0BA}"/>
  </w:font>
  <w:font w:name="Overpass">
    <w:panose1 w:val="00000500000000000000"/>
    <w:charset w:val="00"/>
    <w:family w:val="auto"/>
    <w:pitch w:val="variable"/>
    <w:sig w:usb0="00000007" w:usb1="00000020" w:usb2="00000000" w:usb3="00000000" w:csb0="00000093" w:csb1="00000000"/>
    <w:embedRegular r:id="rId4" w:fontKey="{2868D9CB-E797-4C5B-BFA7-E93A769DEC3A}"/>
    <w:embedBold r:id="rId5" w:fontKey="{4D2820EC-B211-4401-A04E-C17813C45117}"/>
  </w:font>
  <w:font w:name="PHOSPHATESOLID">
    <w:panose1 w:val="02000606020000020004"/>
    <w:charset w:val="00"/>
    <w:family w:val="auto"/>
    <w:pitch w:val="variable"/>
    <w:sig w:usb0="800000A3" w:usb1="00000000" w:usb2="00000000" w:usb3="00000000" w:csb0="00000009" w:csb1="00000000"/>
    <w:embedRegular r:id="rId6" w:fontKey="{57822C41-3A42-4A29-AE79-583474E7784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49A2" w14:textId="1E404DF8" w:rsidR="0031655E" w:rsidRPr="00223F49" w:rsidRDefault="009C1CB4" w:rsidP="00223F49">
    <w:pPr>
      <w:pStyle w:val="P1Footer"/>
      <w:rPr>
        <w:b/>
      </w:rPr>
    </w:pPr>
    <w:r>
      <w:rPr>
        <w:b/>
      </w:rPr>
      <w:t>January 2022</w:t>
    </w:r>
  </w:p>
  <w:p w14:paraId="7EF364B7" w14:textId="023933C3" w:rsidR="0031655E" w:rsidRPr="00735275" w:rsidRDefault="00735275" w:rsidP="00735275">
    <w:pPr>
      <w:pStyle w:val="FooterP1EQAU"/>
    </w:pPr>
    <w:r w:rsidRPr="00735275">
      <w:t>we need your voice</w:t>
    </w:r>
    <w:r w:rsidR="00AB31F2">
      <w:t xml:space="preserve">. </w:t>
    </w:r>
    <w:r w:rsidRPr="00735275">
      <w:t xml:space="preserve"> equalityaustralia.org.au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BBD4" w14:textId="0B2E1FCB" w:rsidR="00735275" w:rsidRPr="0031655E" w:rsidRDefault="009A738B" w:rsidP="00735275">
    <w:pPr>
      <w:pStyle w:val="Footer"/>
    </w:pPr>
    <w:r>
      <w:t>An Equality Act for the Equality Capital: Equality Australia</w:t>
    </w:r>
    <w:r w:rsidR="001F1114">
      <w:t>’s</w:t>
    </w:r>
    <w:r>
      <w:t xml:space="preserve"> submission to the ACT Discrimination Law Reform Review</w:t>
    </w:r>
  </w:p>
  <w:tbl>
    <w:tblPr>
      <w:tblStyle w:val="TableGrid"/>
      <w:tblW w:w="913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70"/>
    </w:tblGrid>
    <w:tr w:rsidR="00735275" w:rsidRPr="00E20450" w14:paraId="392E262A" w14:textId="77777777" w:rsidTr="00F64415">
      <w:tc>
        <w:tcPr>
          <w:tcW w:w="4560" w:type="dxa"/>
        </w:tcPr>
        <w:p w14:paraId="501184B6" w14:textId="77777777" w:rsidR="00735275" w:rsidRPr="0011785E" w:rsidRDefault="00735275" w:rsidP="00735275">
          <w:pPr>
            <w:pStyle w:val="FooterEQAU"/>
          </w:pPr>
          <w:r w:rsidRPr="0011785E">
            <w:t>equalityaustralia.org.au</w:t>
          </w:r>
        </w:p>
      </w:tc>
      <w:tc>
        <w:tcPr>
          <w:tcW w:w="4570" w:type="dxa"/>
        </w:tcPr>
        <w:p w14:paraId="4B1D2C02" w14:textId="77777777" w:rsidR="00735275" w:rsidRPr="0011785E" w:rsidRDefault="00735275"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04AB9F17" w14:textId="5A2173FE" w:rsidR="008D531D" w:rsidRPr="00735275" w:rsidRDefault="008D531D" w:rsidP="00735275">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D20E" w14:textId="77777777" w:rsidR="001F1114" w:rsidRPr="0031655E" w:rsidRDefault="001F1114" w:rsidP="00735275">
    <w:pPr>
      <w:pStyle w:val="Footer"/>
    </w:pPr>
    <w:r>
      <w:t>An Equality Act for the Equality Capital: Equality Australia’s submission to the ACT Discrimination Law Reform Review</w:t>
    </w:r>
  </w:p>
  <w:tbl>
    <w:tblPr>
      <w:tblStyle w:val="TableGrid"/>
      <w:tblW w:w="13619"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2"/>
      <w:gridCol w:w="6817"/>
    </w:tblGrid>
    <w:tr w:rsidR="001F1114" w:rsidRPr="00E20450" w14:paraId="1B87B970" w14:textId="77777777" w:rsidTr="001F1114">
      <w:trPr>
        <w:trHeight w:val="342"/>
      </w:trPr>
      <w:tc>
        <w:tcPr>
          <w:tcW w:w="6802" w:type="dxa"/>
        </w:tcPr>
        <w:p w14:paraId="6DBB4DEF" w14:textId="77777777" w:rsidR="001F1114" w:rsidRPr="0011785E" w:rsidRDefault="001F1114" w:rsidP="00735275">
          <w:pPr>
            <w:pStyle w:val="FooterEQAU"/>
          </w:pPr>
          <w:r w:rsidRPr="0011785E">
            <w:t>equalityaustralia.org.au</w:t>
          </w:r>
        </w:p>
      </w:tc>
      <w:tc>
        <w:tcPr>
          <w:tcW w:w="6817" w:type="dxa"/>
        </w:tcPr>
        <w:p w14:paraId="45A9BB6A" w14:textId="77777777" w:rsidR="001F1114" w:rsidRPr="0011785E" w:rsidRDefault="001F1114" w:rsidP="00735275">
          <w:pPr>
            <w:pStyle w:val="Page"/>
            <w:spacing w:before="0" w:after="0" w:line="240" w:lineRule="auto"/>
            <w:jc w:val="right"/>
          </w:pPr>
          <w:r>
            <w:t xml:space="preserve">Page </w:t>
          </w:r>
          <w:r>
            <w:fldChar w:fldCharType="begin"/>
          </w:r>
          <w:r>
            <w:instrText xml:space="preserve"> PAGE  \* Arabic  \* MERGEFORMAT </w:instrText>
          </w:r>
          <w:r>
            <w:fldChar w:fldCharType="separate"/>
          </w:r>
          <w:r>
            <w:t>1</w:t>
          </w:r>
          <w:r>
            <w:fldChar w:fldCharType="end"/>
          </w:r>
        </w:p>
      </w:tc>
    </w:tr>
  </w:tbl>
  <w:p w14:paraId="40E1AEB1" w14:textId="77777777" w:rsidR="001F1114" w:rsidRPr="00735275" w:rsidRDefault="001F1114" w:rsidP="0073527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E2FAE" w14:textId="77777777" w:rsidR="004349C8" w:rsidRDefault="004349C8" w:rsidP="00CA34DF">
      <w:r>
        <w:separator/>
      </w:r>
    </w:p>
  </w:footnote>
  <w:footnote w:type="continuationSeparator" w:id="0">
    <w:p w14:paraId="3277AC9A" w14:textId="77777777" w:rsidR="004349C8" w:rsidRDefault="004349C8" w:rsidP="00CA34DF">
      <w:r>
        <w:continuationSeparator/>
      </w:r>
    </w:p>
  </w:footnote>
  <w:footnote w:id="1">
    <w:p w14:paraId="75C6D8E4" w14:textId="77777777" w:rsidR="00AB3F3E" w:rsidRPr="006A0796" w:rsidRDefault="00AB3F3E" w:rsidP="00AB3F3E">
      <w:pPr>
        <w:pStyle w:val="FootnoteText"/>
      </w:pPr>
      <w:r>
        <w:rPr>
          <w:rStyle w:val="FootnoteReference"/>
        </w:rPr>
        <w:footnoteRef/>
      </w:r>
      <w:r>
        <w:t xml:space="preserve"> </w:t>
      </w:r>
      <w:r>
        <w:rPr>
          <w:i/>
          <w:iCs/>
        </w:rPr>
        <w:t xml:space="preserve">Discrimination Act 1991 </w:t>
      </w:r>
      <w:r>
        <w:t>(ACT), s 32(1)(a)-(b).</w:t>
      </w:r>
    </w:p>
  </w:footnote>
  <w:footnote w:id="2">
    <w:p w14:paraId="687B9A90" w14:textId="77777777" w:rsidR="00AB3F3E" w:rsidRDefault="00AB3F3E" w:rsidP="00AB3F3E">
      <w:pPr>
        <w:pStyle w:val="FootnoteText"/>
      </w:pPr>
      <w:r>
        <w:rPr>
          <w:rStyle w:val="FootnoteReference"/>
        </w:rPr>
        <w:footnoteRef/>
      </w:r>
      <w:r>
        <w:t xml:space="preserve"> </w:t>
      </w:r>
      <w:r>
        <w:rPr>
          <w:i/>
          <w:iCs/>
        </w:rPr>
        <w:t xml:space="preserve">Discrimination Act 1991 </w:t>
      </w:r>
      <w:r>
        <w:t>(ACT), s 32(1)(c).</w:t>
      </w:r>
    </w:p>
  </w:footnote>
  <w:footnote w:id="3">
    <w:p w14:paraId="4AC7A64C" w14:textId="77777777" w:rsidR="00FB532A" w:rsidRDefault="00FB532A" w:rsidP="00FB532A">
      <w:pPr>
        <w:pStyle w:val="FootnoteText"/>
      </w:pPr>
      <w:r>
        <w:rPr>
          <w:rStyle w:val="FootnoteReference"/>
        </w:rPr>
        <w:footnoteRef/>
      </w:r>
      <w:r>
        <w:t xml:space="preserve"> </w:t>
      </w:r>
      <w:r w:rsidRPr="00AC5280">
        <w:t xml:space="preserve">UN Human Rights Committee, </w:t>
      </w:r>
      <w:hyperlink r:id="rId1" w:history="1">
        <w:r w:rsidRPr="00F144C5">
          <w:rPr>
            <w:rStyle w:val="Hyperlink"/>
            <w:i/>
            <w:iCs/>
          </w:rPr>
          <w:t>CCPR General Comment No. 18: Non-discrimination</w:t>
        </w:r>
      </w:hyperlink>
      <w:r w:rsidRPr="00AC5280">
        <w:t>, 10 November 1989</w:t>
      </w:r>
      <w:r>
        <w:t>, [13].</w:t>
      </w:r>
    </w:p>
  </w:footnote>
  <w:footnote w:id="4">
    <w:p w14:paraId="0C3491F9" w14:textId="499920D1" w:rsidR="00F14283" w:rsidRDefault="00F14283">
      <w:pPr>
        <w:pStyle w:val="FootnoteText"/>
      </w:pPr>
      <w:r>
        <w:rPr>
          <w:rStyle w:val="FootnoteReference"/>
        </w:rPr>
        <w:footnoteRef/>
      </w:r>
      <w:r>
        <w:t xml:space="preserve"> </w:t>
      </w:r>
      <w:r w:rsidRPr="00A20AFE">
        <w:rPr>
          <w:i/>
          <w:iCs/>
        </w:rPr>
        <w:t>Human Rights Act 2004</w:t>
      </w:r>
      <w:r w:rsidR="00A20AFE">
        <w:t xml:space="preserve"> (ACT)</w:t>
      </w:r>
      <w:r>
        <w:t>,</w:t>
      </w:r>
      <w:r w:rsidR="00A20AFE">
        <w:t xml:space="preserve"> ss 6, 14.</w:t>
      </w:r>
    </w:p>
  </w:footnote>
  <w:footnote w:id="5">
    <w:p w14:paraId="29C7354E" w14:textId="4CB17AE2" w:rsidR="00E63590" w:rsidRDefault="00E63590">
      <w:pPr>
        <w:pStyle w:val="FootnoteText"/>
      </w:pPr>
      <w:r>
        <w:rPr>
          <w:rStyle w:val="FootnoteReference"/>
        </w:rPr>
        <w:footnoteRef/>
      </w:r>
      <w:r>
        <w:t xml:space="preserve"> </w:t>
      </w:r>
      <w:r w:rsidR="00540357">
        <w:t xml:space="preserve">See Equality Australia (2019) </w:t>
      </w:r>
      <w:hyperlink r:id="rId2" w:history="1">
        <w:r w:rsidR="00540357" w:rsidRPr="00F47DB3">
          <w:rPr>
            <w:rStyle w:val="Hyperlink"/>
          </w:rPr>
          <w:t>‘Rachel Colvin files discrimination complaint against Ballarat Christian College’</w:t>
        </w:r>
      </w:hyperlink>
      <w:r w:rsidR="00540357">
        <w:t xml:space="preserve">, 14 September;  </w:t>
      </w:r>
      <w:r w:rsidR="00C83909">
        <w:t xml:space="preserve">Ben Schneiders and Royce Millar (2021) </w:t>
      </w:r>
      <w:hyperlink r:id="rId3" w:history="1">
        <w:r w:rsidR="00C83909" w:rsidRPr="00D0104B">
          <w:rPr>
            <w:rStyle w:val="Hyperlink"/>
          </w:rPr>
          <w:t>‘Steph Lentz was sacked this year for being gay</w:t>
        </w:r>
        <w:r w:rsidR="00AB31F2">
          <w:rPr>
            <w:rStyle w:val="Hyperlink"/>
          </w:rPr>
          <w:t xml:space="preserve">. </w:t>
        </w:r>
        <w:r w:rsidR="00C83909" w:rsidRPr="00D0104B">
          <w:rPr>
            <w:rStyle w:val="Hyperlink"/>
          </w:rPr>
          <w:t>It was perfectly legal’</w:t>
        </w:r>
      </w:hyperlink>
      <w:r w:rsidR="00C83909">
        <w:t xml:space="preserve">, </w:t>
      </w:r>
      <w:r w:rsidR="00C83909">
        <w:rPr>
          <w:i/>
          <w:iCs/>
        </w:rPr>
        <w:t xml:space="preserve">Sydney Morning Herald, </w:t>
      </w:r>
      <w:r w:rsidR="00C83909">
        <w:t>10 August.</w:t>
      </w:r>
    </w:p>
  </w:footnote>
  <w:footnote w:id="6">
    <w:p w14:paraId="16C7E34C" w14:textId="77777777" w:rsidR="003A48C8" w:rsidRDefault="003A48C8" w:rsidP="003A48C8">
      <w:pPr>
        <w:pStyle w:val="FootnoteText"/>
      </w:pPr>
      <w:r>
        <w:rPr>
          <w:rStyle w:val="FootnoteReference"/>
        </w:rPr>
        <w:footnoteRef/>
      </w:r>
      <w:r>
        <w:t xml:space="preserve"> </w:t>
      </w:r>
      <w:r w:rsidRPr="001533D0">
        <w:rPr>
          <w:i/>
          <w:iCs/>
        </w:rPr>
        <w:t>Equal Opportunity (Religious Exceptions) Amendment Act 2021</w:t>
      </w:r>
      <w:r>
        <w:t xml:space="preserve"> (Vic).</w:t>
      </w:r>
    </w:p>
  </w:footnote>
  <w:footnote w:id="7">
    <w:p w14:paraId="33D12AB6" w14:textId="77777777" w:rsidR="00641B2D" w:rsidRDefault="00641B2D" w:rsidP="00641B2D">
      <w:pPr>
        <w:pStyle w:val="FootnoteText"/>
      </w:pPr>
      <w:r>
        <w:rPr>
          <w:rStyle w:val="FootnoteReference"/>
        </w:rPr>
        <w:footnoteRef/>
      </w:r>
      <w:r>
        <w:t xml:space="preserve"> </w:t>
      </w:r>
      <w:r>
        <w:rPr>
          <w:i/>
          <w:iCs/>
        </w:rPr>
        <w:t xml:space="preserve">Anti-Discrimination Act 1997 </w:t>
      </w:r>
      <w:r>
        <w:t xml:space="preserve">(Tas), ss 50-51; </w:t>
      </w:r>
      <w:r>
        <w:rPr>
          <w:i/>
          <w:iCs/>
        </w:rPr>
        <w:t xml:space="preserve">Anti-Discrimination Act 1991 </w:t>
      </w:r>
      <w:r>
        <w:t xml:space="preserve">(Qld), ss 25(3)-(8), 109(2); A Hilkemeijer and A McGuire (2019) ‘Religious schools and discrimination against staff on the basis of sexual orientation: lessons from European human rights jurisprudence’, </w:t>
      </w:r>
      <w:r>
        <w:rPr>
          <w:i/>
          <w:iCs/>
        </w:rPr>
        <w:t>Australian Law Journal</w:t>
      </w:r>
      <w:r>
        <w:t>, 93(9): 752-765.</w:t>
      </w:r>
    </w:p>
  </w:footnote>
  <w:footnote w:id="8">
    <w:p w14:paraId="28571EE0" w14:textId="77777777" w:rsidR="00264F85" w:rsidRDefault="00264F85" w:rsidP="00264F85">
      <w:pPr>
        <w:pStyle w:val="FootnoteText"/>
      </w:pPr>
      <w:r>
        <w:rPr>
          <w:rStyle w:val="FootnoteReference"/>
        </w:rPr>
        <w:footnoteRef/>
      </w:r>
      <w:r>
        <w:t xml:space="preserve"> See e.g. </w:t>
      </w:r>
      <w:r>
        <w:rPr>
          <w:i/>
          <w:iCs/>
        </w:rPr>
        <w:t xml:space="preserve">Hosanna-Tabor Evangelical Lutheran Church &amp; School v EEOC, </w:t>
      </w:r>
      <w:r>
        <w:t>556 U.S. 171</w:t>
      </w:r>
      <w:r>
        <w:rPr>
          <w:i/>
          <w:iCs/>
        </w:rPr>
        <w:t xml:space="preserve"> </w:t>
      </w:r>
      <w:r>
        <w:t xml:space="preserve">(2012); </w:t>
      </w:r>
      <w:r>
        <w:rPr>
          <w:i/>
          <w:iCs/>
        </w:rPr>
        <w:t xml:space="preserve">Our Lady of Guadalupe School v Morrissey-Berru, </w:t>
      </w:r>
      <w:r>
        <w:t>591 U.S. ____ (2020).</w:t>
      </w:r>
      <w:r>
        <w:rPr>
          <w:i/>
          <w:iCs/>
        </w:rPr>
        <w:t xml:space="preserve"> </w:t>
      </w:r>
    </w:p>
  </w:footnote>
  <w:footnote w:id="9">
    <w:p w14:paraId="31483FFB" w14:textId="77777777" w:rsidR="00264F85" w:rsidRDefault="00264F85" w:rsidP="00264F85">
      <w:pPr>
        <w:pStyle w:val="FootnoteText"/>
      </w:pPr>
      <w:r>
        <w:rPr>
          <w:rStyle w:val="FootnoteReference"/>
        </w:rPr>
        <w:footnoteRef/>
      </w:r>
      <w:r>
        <w:t xml:space="preserve"> </w:t>
      </w:r>
      <w:r>
        <w:rPr>
          <w:i/>
          <w:iCs/>
        </w:rPr>
        <w:t xml:space="preserve">X v Commonwealth </w:t>
      </w:r>
      <w:r>
        <w:t>[1999] HCA 63 at [31]-[33], [37] per McHugh J, and [102]-[103] and [105]-[106] per Gummow and Hayne JJ (with whom Gleeson CJ and Callinan J agreed, see also [173]); cf at [105]-[151] per Kirby J dissenting.</w:t>
      </w:r>
    </w:p>
  </w:footnote>
  <w:footnote w:id="10">
    <w:p w14:paraId="518A86D4" w14:textId="77777777" w:rsidR="00313175" w:rsidRDefault="00313175" w:rsidP="00313175">
      <w:pPr>
        <w:pStyle w:val="FootnoteText"/>
      </w:pPr>
      <w:r>
        <w:rPr>
          <w:rStyle w:val="FootnoteReference"/>
        </w:rPr>
        <w:footnoteRef/>
      </w:r>
      <w:r>
        <w:t xml:space="preserve"> See Discussion Paper, pp. 24-25.</w:t>
      </w:r>
    </w:p>
  </w:footnote>
  <w:footnote w:id="11">
    <w:p w14:paraId="4810EFDE" w14:textId="32338C64" w:rsidR="00A3175F" w:rsidRPr="00070032" w:rsidRDefault="00A3175F" w:rsidP="00A3175F">
      <w:pPr>
        <w:pStyle w:val="FootnoteText"/>
      </w:pPr>
      <w:r>
        <w:rPr>
          <w:rStyle w:val="FootnoteReference"/>
        </w:rPr>
        <w:footnoteRef/>
      </w:r>
      <w:r>
        <w:t xml:space="preserve"> See Discussion Paper, pp. 22-23</w:t>
      </w:r>
      <w:r w:rsidR="00AB31F2">
        <w:t xml:space="preserve">. </w:t>
      </w:r>
      <w:r w:rsidR="000C23C7">
        <w:t xml:space="preserve">See </w:t>
      </w:r>
      <w:r w:rsidR="00070032">
        <w:rPr>
          <w:i/>
          <w:iCs/>
        </w:rPr>
        <w:t xml:space="preserve">Christian Youth Camps Ltd v Cobaw Community Health Services Ltd </w:t>
      </w:r>
      <w:r w:rsidR="006F7383">
        <w:rPr>
          <w:i/>
          <w:iCs/>
        </w:rPr>
        <w:t xml:space="preserve"> </w:t>
      </w:r>
      <w:r w:rsidR="006F7383">
        <w:t>[2014] VSCA 75 at [265].</w:t>
      </w:r>
    </w:p>
  </w:footnote>
  <w:footnote w:id="12">
    <w:p w14:paraId="5EA156A5" w14:textId="77777777" w:rsidR="003F4874" w:rsidRDefault="003F4874" w:rsidP="003F4874">
      <w:pPr>
        <w:pStyle w:val="FootnoteText"/>
      </w:pPr>
      <w:r>
        <w:rPr>
          <w:rStyle w:val="FootnoteReference"/>
        </w:rPr>
        <w:footnoteRef/>
      </w:r>
      <w:r>
        <w:t xml:space="preserve"> </w:t>
      </w:r>
      <w:r w:rsidRPr="00FB4EDD">
        <w:rPr>
          <w:i/>
          <w:iCs/>
        </w:rPr>
        <w:t xml:space="preserve">Discrimination Act 1991 </w:t>
      </w:r>
      <w:r w:rsidRPr="00FB4EDD">
        <w:t>(ACT)</w:t>
      </w:r>
      <w:r>
        <w:t>, s 8(1).</w:t>
      </w:r>
    </w:p>
  </w:footnote>
  <w:footnote w:id="13">
    <w:p w14:paraId="3D6CF125" w14:textId="204EEC64" w:rsidR="00DF2E94" w:rsidRDefault="00DF2E94">
      <w:pPr>
        <w:pStyle w:val="FootnoteText"/>
      </w:pPr>
      <w:r>
        <w:rPr>
          <w:rStyle w:val="FootnoteReference"/>
        </w:rPr>
        <w:footnoteRef/>
      </w:r>
      <w:r>
        <w:t xml:space="preserve"> </w:t>
      </w:r>
      <w:r w:rsidRPr="00DF2E94">
        <w:rPr>
          <w:i/>
          <w:iCs/>
        </w:rPr>
        <w:t>Discrimination Act 1991</w:t>
      </w:r>
      <w:r>
        <w:t xml:space="preserve"> (Act), Part 5.</w:t>
      </w:r>
    </w:p>
  </w:footnote>
  <w:footnote w:id="14">
    <w:p w14:paraId="412FF2B0" w14:textId="77777777" w:rsidR="00E94F44" w:rsidRDefault="00E94F44" w:rsidP="00E94F44">
      <w:pPr>
        <w:pStyle w:val="FootnoteText"/>
      </w:pPr>
      <w:r>
        <w:rPr>
          <w:rStyle w:val="FootnoteReference"/>
        </w:rPr>
        <w:footnoteRef/>
      </w:r>
      <w:r>
        <w:t xml:space="preserve"> </w:t>
      </w:r>
      <w:r w:rsidRPr="00E56F2E">
        <w:rPr>
          <w:i/>
          <w:iCs/>
        </w:rPr>
        <w:t>Disability Discrimination Act 1992</w:t>
      </w:r>
      <w:r>
        <w:t xml:space="preserve"> (Cth), ss 35-39.</w:t>
      </w:r>
    </w:p>
  </w:footnote>
  <w:footnote w:id="15">
    <w:p w14:paraId="677E2905" w14:textId="77777777" w:rsidR="00E94F44" w:rsidRPr="000D1FD3" w:rsidRDefault="00E94F44" w:rsidP="00E94F44">
      <w:pPr>
        <w:pStyle w:val="FootnoteText"/>
      </w:pPr>
      <w:r>
        <w:rPr>
          <w:rStyle w:val="FootnoteReference"/>
        </w:rPr>
        <w:footnoteRef/>
      </w:r>
      <w:r>
        <w:t xml:space="preserve"> </w:t>
      </w:r>
      <w:r>
        <w:rPr>
          <w:i/>
          <w:iCs/>
        </w:rPr>
        <w:t xml:space="preserve">Anti-Discrimination Act 1992 </w:t>
      </w:r>
      <w:r>
        <w:t>(NT), s 20(1)(b).</w:t>
      </w:r>
    </w:p>
  </w:footnote>
  <w:footnote w:id="16">
    <w:p w14:paraId="6DF891E9" w14:textId="77777777" w:rsidR="00E94F44" w:rsidRPr="002E7695" w:rsidRDefault="00E94F44" w:rsidP="00E94F44">
      <w:pPr>
        <w:pStyle w:val="FootnoteText"/>
      </w:pPr>
      <w:r>
        <w:rPr>
          <w:rStyle w:val="FootnoteReference"/>
        </w:rPr>
        <w:footnoteRef/>
      </w:r>
      <w:r>
        <w:t xml:space="preserve"> </w:t>
      </w:r>
      <w:r>
        <w:rPr>
          <w:i/>
          <w:iCs/>
        </w:rPr>
        <w:t xml:space="preserve">Racial Discrimination Act 1975 </w:t>
      </w:r>
      <w:r>
        <w:t>(Cth), s 18C.</w:t>
      </w:r>
    </w:p>
  </w:footnote>
  <w:footnote w:id="17">
    <w:p w14:paraId="74028377" w14:textId="77777777" w:rsidR="00E94F44" w:rsidRPr="00D541F9" w:rsidRDefault="00E94F44" w:rsidP="00E94F44">
      <w:pPr>
        <w:pStyle w:val="FootnoteText"/>
      </w:pPr>
      <w:r>
        <w:rPr>
          <w:rStyle w:val="FootnoteReference"/>
        </w:rPr>
        <w:footnoteRef/>
      </w:r>
      <w:r>
        <w:t xml:space="preserve"> </w:t>
      </w:r>
      <w:r>
        <w:rPr>
          <w:i/>
          <w:iCs/>
        </w:rPr>
        <w:t xml:space="preserve">Anti-Discrimination Act 1998 </w:t>
      </w:r>
      <w:r>
        <w:t>(Tas), s 17.</w:t>
      </w:r>
    </w:p>
  </w:footnote>
  <w:footnote w:id="18">
    <w:p w14:paraId="65906A37" w14:textId="0B9FB705" w:rsidR="009138CE" w:rsidRPr="008406E2" w:rsidRDefault="009138CE" w:rsidP="009138CE">
      <w:pPr>
        <w:pStyle w:val="FootnoteText"/>
      </w:pPr>
      <w:r>
        <w:rPr>
          <w:rStyle w:val="FootnoteReference"/>
        </w:rPr>
        <w:footnoteRef/>
      </w:r>
      <w:r>
        <w:t xml:space="preserve"> </w:t>
      </w:r>
      <w:r>
        <w:rPr>
          <w:i/>
          <w:iCs/>
        </w:rPr>
        <w:t xml:space="preserve">Sex Discrimination Act 1984 </w:t>
      </w:r>
      <w:r>
        <w:t>(Cth), s</w:t>
      </w:r>
      <w:r w:rsidR="00A43768">
        <w:t>s 5-7AA, 7B</w:t>
      </w:r>
      <w:r>
        <w:t>.</w:t>
      </w:r>
    </w:p>
  </w:footnote>
  <w:footnote w:id="19">
    <w:p w14:paraId="3027ADE0" w14:textId="77777777" w:rsidR="005E4DE7" w:rsidRDefault="005E4DE7" w:rsidP="005E4DE7">
      <w:pPr>
        <w:pStyle w:val="FootnoteText"/>
      </w:pPr>
      <w:r>
        <w:rPr>
          <w:rStyle w:val="FootnoteReference"/>
        </w:rPr>
        <w:footnoteRef/>
      </w:r>
      <w:r>
        <w:t xml:space="preserve"> See Discussion Paper, p. 13.</w:t>
      </w:r>
    </w:p>
  </w:footnote>
  <w:footnote w:id="20">
    <w:p w14:paraId="1FD327DE" w14:textId="3FDF4A45" w:rsidR="00AA68A3" w:rsidRPr="001C7071" w:rsidRDefault="00AA68A3">
      <w:pPr>
        <w:pStyle w:val="FootnoteText"/>
      </w:pPr>
      <w:r>
        <w:rPr>
          <w:rStyle w:val="FootnoteReference"/>
        </w:rPr>
        <w:footnoteRef/>
      </w:r>
      <w:r>
        <w:t xml:space="preserve"> </w:t>
      </w:r>
      <w:r w:rsidR="001C7071">
        <w:t xml:space="preserve">See </w:t>
      </w:r>
      <w:r>
        <w:rPr>
          <w:i/>
          <w:iCs/>
        </w:rPr>
        <w:t>Fulton v City of Philadelphia</w:t>
      </w:r>
      <w:r w:rsidR="001C7071">
        <w:rPr>
          <w:i/>
          <w:iCs/>
        </w:rPr>
        <w:t xml:space="preserve"> </w:t>
      </w:r>
      <w:r w:rsidR="001C7071">
        <w:t>593 US ______ (2021).</w:t>
      </w:r>
    </w:p>
  </w:footnote>
  <w:footnote w:id="21">
    <w:p w14:paraId="7D4647CF" w14:textId="77777777" w:rsidR="005E4DE7" w:rsidRDefault="005E4DE7" w:rsidP="005E4DE7">
      <w:pPr>
        <w:pStyle w:val="FootnoteText"/>
      </w:pPr>
      <w:r>
        <w:rPr>
          <w:rStyle w:val="FootnoteReference"/>
        </w:rPr>
        <w:footnoteRef/>
      </w:r>
      <w:r>
        <w:t xml:space="preserve"> </w:t>
      </w:r>
      <w:r w:rsidRPr="0046702B">
        <w:t xml:space="preserve">UN Human Rights Committee, </w:t>
      </w:r>
      <w:r w:rsidRPr="0046702B">
        <w:rPr>
          <w:i/>
          <w:iCs/>
        </w:rPr>
        <w:t>CCPR General Comment No. 18: Non-discrimination</w:t>
      </w:r>
      <w:r w:rsidRPr="0046702B">
        <w:t>, 10 November 1989</w:t>
      </w:r>
      <w:r>
        <w:t>.</w:t>
      </w:r>
    </w:p>
  </w:footnote>
  <w:footnote w:id="22">
    <w:p w14:paraId="0C3DBD73" w14:textId="77777777" w:rsidR="005E4DE7" w:rsidRPr="0046702B" w:rsidRDefault="005E4DE7" w:rsidP="005E4DE7">
      <w:pPr>
        <w:pStyle w:val="FootnoteText"/>
      </w:pPr>
      <w:r>
        <w:rPr>
          <w:rStyle w:val="FootnoteReference"/>
        </w:rPr>
        <w:footnoteRef/>
      </w:r>
      <w:r>
        <w:t xml:space="preserve"> </w:t>
      </w:r>
      <w:r>
        <w:rPr>
          <w:i/>
          <w:iCs/>
        </w:rPr>
        <w:t xml:space="preserve">Racial Discrimination Act 1975 </w:t>
      </w:r>
      <w:r>
        <w:t>(Cth), s 9.</w:t>
      </w:r>
    </w:p>
  </w:footnote>
  <w:footnote w:id="23">
    <w:p w14:paraId="08AC61E4" w14:textId="77777777" w:rsidR="006331AA" w:rsidRDefault="006331AA" w:rsidP="006331AA">
      <w:pPr>
        <w:pStyle w:val="FootnoteText"/>
      </w:pPr>
      <w:r>
        <w:rPr>
          <w:rStyle w:val="FootnoteReference"/>
        </w:rPr>
        <w:footnoteRef/>
      </w:r>
      <w:r>
        <w:t xml:space="preserve"> </w:t>
      </w:r>
      <w:r w:rsidRPr="00FE1FDA">
        <w:rPr>
          <w:i/>
          <w:iCs/>
        </w:rPr>
        <w:t>Equal Opportunity Act 2010</w:t>
      </w:r>
      <w:r>
        <w:t xml:space="preserve"> (Vic), s 15.</w:t>
      </w:r>
    </w:p>
  </w:footnote>
  <w:footnote w:id="24">
    <w:p w14:paraId="58340C18" w14:textId="77777777" w:rsidR="006331AA" w:rsidRPr="00801F02" w:rsidRDefault="006331AA" w:rsidP="006331AA">
      <w:pPr>
        <w:pStyle w:val="FootnoteText"/>
      </w:pPr>
      <w:r>
        <w:rPr>
          <w:rStyle w:val="FootnoteReference"/>
        </w:rPr>
        <w:footnoteRef/>
      </w:r>
      <w:r>
        <w:t xml:space="preserve"> </w:t>
      </w:r>
      <w:r>
        <w:rPr>
          <w:i/>
          <w:iCs/>
        </w:rPr>
        <w:t xml:space="preserve">Human Rights Act 2004 </w:t>
      </w:r>
      <w:r>
        <w:t>(ACT), s 40B.</w:t>
      </w:r>
    </w:p>
  </w:footnote>
  <w:footnote w:id="25">
    <w:p w14:paraId="5FC0CB42" w14:textId="77777777" w:rsidR="006331AA" w:rsidRPr="00183C3C" w:rsidRDefault="006331AA" w:rsidP="006331AA">
      <w:pPr>
        <w:pStyle w:val="FootnoteText"/>
      </w:pPr>
      <w:r>
        <w:rPr>
          <w:rStyle w:val="FootnoteReference"/>
        </w:rPr>
        <w:footnoteRef/>
      </w:r>
      <w:r>
        <w:t xml:space="preserve"> </w:t>
      </w:r>
      <w:r>
        <w:rPr>
          <w:i/>
          <w:iCs/>
        </w:rPr>
        <w:t xml:space="preserve">Work Health and Safety Act </w:t>
      </w:r>
      <w:r>
        <w:t>(ACT), ss 19-29.</w:t>
      </w:r>
    </w:p>
  </w:footnote>
  <w:footnote w:id="26">
    <w:p w14:paraId="02429B51" w14:textId="77777777" w:rsidR="006331AA" w:rsidRPr="0013064D" w:rsidRDefault="006331AA" w:rsidP="006331AA">
      <w:pPr>
        <w:pStyle w:val="FootnoteText"/>
      </w:pPr>
      <w:r>
        <w:rPr>
          <w:rStyle w:val="FootnoteReference"/>
        </w:rPr>
        <w:footnoteRef/>
      </w:r>
      <w:r>
        <w:t xml:space="preserve"> </w:t>
      </w:r>
      <w:r>
        <w:rPr>
          <w:i/>
          <w:iCs/>
        </w:rPr>
        <w:t xml:space="preserve">Workplace Gender Equality Act 2012 </w:t>
      </w:r>
      <w:r w:rsidRPr="0013064D">
        <w:t>(</w:t>
      </w:r>
      <w:r>
        <w:t>Cth).</w:t>
      </w:r>
    </w:p>
  </w:footnote>
  <w:footnote w:id="27">
    <w:p w14:paraId="504D1AF6" w14:textId="77777777" w:rsidR="006331AA" w:rsidRPr="002C589E" w:rsidRDefault="006331AA" w:rsidP="006331AA">
      <w:pPr>
        <w:pStyle w:val="FootnoteText"/>
      </w:pPr>
      <w:r>
        <w:rPr>
          <w:rStyle w:val="FootnoteReference"/>
        </w:rPr>
        <w:footnoteRef/>
      </w:r>
      <w:r>
        <w:t xml:space="preserve"> </w:t>
      </w:r>
      <w:r>
        <w:rPr>
          <w:i/>
          <w:iCs/>
        </w:rPr>
        <w:t xml:space="preserve">Modern Slavery Act 2018 </w:t>
      </w:r>
      <w:r>
        <w:t>(Cth), s 16.</w:t>
      </w:r>
    </w:p>
  </w:footnote>
  <w:footnote w:id="28">
    <w:p w14:paraId="39103379" w14:textId="77777777" w:rsidR="006331AA" w:rsidRPr="006B7422" w:rsidRDefault="006331AA" w:rsidP="006331AA">
      <w:pPr>
        <w:pStyle w:val="FootnoteText"/>
      </w:pPr>
      <w:r>
        <w:rPr>
          <w:rStyle w:val="FootnoteReference"/>
        </w:rPr>
        <w:footnoteRef/>
      </w:r>
      <w:r>
        <w:t xml:space="preserve"> </w:t>
      </w:r>
      <w:r>
        <w:rPr>
          <w:i/>
          <w:iCs/>
        </w:rPr>
        <w:t xml:space="preserve">Anti-Money Laundering and Counter-Terrorism Financing Act 2006 </w:t>
      </w:r>
      <w:r>
        <w:t>(Cth)</w:t>
      </w:r>
      <w:r>
        <w:rPr>
          <w:i/>
          <w:iCs/>
        </w:rPr>
        <w:t xml:space="preserve">, </w:t>
      </w:r>
      <w:r>
        <w:t>ss 41, 43, 45.</w:t>
      </w:r>
    </w:p>
  </w:footnote>
  <w:footnote w:id="29">
    <w:p w14:paraId="3D938D36" w14:textId="77777777" w:rsidR="006331AA" w:rsidRPr="00487AAC" w:rsidRDefault="006331AA" w:rsidP="006331AA">
      <w:pPr>
        <w:pStyle w:val="FootnoteText"/>
      </w:pPr>
      <w:r>
        <w:rPr>
          <w:rStyle w:val="FootnoteReference"/>
        </w:rPr>
        <w:footnoteRef/>
      </w:r>
      <w:r>
        <w:t xml:space="preserve"> E.g. </w:t>
      </w:r>
      <w:r>
        <w:rPr>
          <w:i/>
          <w:iCs/>
        </w:rPr>
        <w:t xml:space="preserve">Children and Young People Act 2008 </w:t>
      </w:r>
      <w:r>
        <w:t>(ACT), s 356.</w:t>
      </w:r>
    </w:p>
  </w:footnote>
  <w:footnote w:id="30">
    <w:p w14:paraId="609D2BCE" w14:textId="77777777" w:rsidR="006331AA" w:rsidRDefault="006331AA" w:rsidP="006331AA">
      <w:pPr>
        <w:pStyle w:val="FootnoteText"/>
      </w:pPr>
      <w:r>
        <w:rPr>
          <w:rStyle w:val="FootnoteReference"/>
        </w:rPr>
        <w:footnoteRef/>
      </w:r>
      <w:r>
        <w:t xml:space="preserve"> See for example, Australian Consumer Law, s 79B.</w:t>
      </w:r>
    </w:p>
  </w:footnote>
  <w:footnote w:id="31">
    <w:p w14:paraId="5E8E6721" w14:textId="4EF9456C" w:rsidR="004D2341" w:rsidRDefault="004D2341">
      <w:pPr>
        <w:pStyle w:val="FootnoteText"/>
      </w:pPr>
      <w:r>
        <w:rPr>
          <w:rStyle w:val="FootnoteReference"/>
        </w:rPr>
        <w:footnoteRef/>
      </w:r>
      <w:r>
        <w:t xml:space="preserve"> </w:t>
      </w:r>
      <w:r w:rsidRPr="004D2341">
        <w:rPr>
          <w:i/>
          <w:iCs/>
        </w:rPr>
        <w:t>Equality Act 2010</w:t>
      </w:r>
      <w:r>
        <w:t xml:space="preserve"> (UK), s 149.</w:t>
      </w:r>
    </w:p>
  </w:footnote>
  <w:footnote w:id="32">
    <w:p w14:paraId="54F1B36B" w14:textId="22F1E17B" w:rsidR="004D2341" w:rsidRDefault="004D2341">
      <w:pPr>
        <w:pStyle w:val="FootnoteText"/>
      </w:pPr>
      <w:r>
        <w:rPr>
          <w:rStyle w:val="FootnoteReference"/>
        </w:rPr>
        <w:footnoteRef/>
      </w:r>
      <w:r>
        <w:t xml:space="preserve"> </w:t>
      </w:r>
      <w:r w:rsidRPr="004D2341">
        <w:rPr>
          <w:i/>
          <w:iCs/>
        </w:rPr>
        <w:t>Equality Act 2010</w:t>
      </w:r>
      <w:r>
        <w:t xml:space="preserve"> (UK), s 149(3).</w:t>
      </w:r>
    </w:p>
  </w:footnote>
  <w:footnote w:id="33">
    <w:p w14:paraId="205D4338" w14:textId="77777777" w:rsidR="00AD3240" w:rsidRPr="003628D0" w:rsidRDefault="00AD3240" w:rsidP="00AD3240">
      <w:pPr>
        <w:pStyle w:val="FootnoteText"/>
      </w:pPr>
      <w:r>
        <w:rPr>
          <w:rStyle w:val="FootnoteReference"/>
        </w:rPr>
        <w:footnoteRef/>
      </w:r>
      <w:r>
        <w:t xml:space="preserve"> </w:t>
      </w:r>
      <w:r>
        <w:rPr>
          <w:i/>
          <w:iCs/>
        </w:rPr>
        <w:t xml:space="preserve">Discrimination Act 1991 </w:t>
      </w:r>
      <w:r>
        <w:t>(ACT), ss 67A and 68.</w:t>
      </w:r>
    </w:p>
  </w:footnote>
  <w:footnote w:id="34">
    <w:p w14:paraId="34E870EB" w14:textId="77777777" w:rsidR="00AD3240" w:rsidRDefault="00AD3240" w:rsidP="00AD3240">
      <w:pPr>
        <w:pStyle w:val="FootnoteText"/>
      </w:pPr>
      <w:r>
        <w:rPr>
          <w:rStyle w:val="FootnoteReference"/>
        </w:rPr>
        <w:footnoteRef/>
      </w:r>
      <w:r>
        <w:t xml:space="preserve"> Hill et al (2020) </w:t>
      </w:r>
      <w:hyperlink r:id="rId4" w:history="1">
        <w:r w:rsidRPr="00440054">
          <w:rPr>
            <w:rStyle w:val="Hyperlink"/>
            <w:i/>
            <w:iCs/>
          </w:rPr>
          <w:t>Private Lives 3: The health and wellbeing of LGBTIQ people in Australia</w:t>
        </w:r>
      </w:hyperlink>
      <w:r>
        <w:rPr>
          <w:i/>
          <w:iCs/>
        </w:rPr>
        <w:t xml:space="preserve">, </w:t>
      </w:r>
      <w:r>
        <w:t xml:space="preserve">Melbourne: ARCSHS, La Trobe University, at 40; Leonard et al (2012) </w:t>
      </w:r>
      <w:hyperlink r:id="rId5" w:history="1">
        <w:r w:rsidRPr="00B51690">
          <w:rPr>
            <w:rStyle w:val="Hyperlink"/>
            <w:i/>
            <w:iCs/>
          </w:rPr>
          <w:t>Private Lives 2</w:t>
        </w:r>
      </w:hyperlink>
      <w:r>
        <w:t>, Melbourne: ARCSHS, La Trobe University, at 47.</w:t>
      </w:r>
    </w:p>
  </w:footnote>
  <w:footnote w:id="35">
    <w:p w14:paraId="5440BC57" w14:textId="77777777" w:rsidR="00AD3240" w:rsidRDefault="00AD3240" w:rsidP="00AD3240">
      <w:pPr>
        <w:pStyle w:val="FootnoteText"/>
      </w:pPr>
      <w:r>
        <w:rPr>
          <w:rStyle w:val="FootnoteReference"/>
        </w:rPr>
        <w:footnoteRef/>
      </w:r>
      <w:r>
        <w:t xml:space="preserve"> Leonard and Mann (2018) </w:t>
      </w:r>
      <w:hyperlink r:id="rId6" w:history="1">
        <w:r w:rsidRPr="00C92011">
          <w:rPr>
            <w:rStyle w:val="Hyperlink"/>
            <w:i/>
            <w:iCs/>
          </w:rPr>
          <w:t>The Everyday Experience of Lesbian, Gay, Bisexual, Transgender and Intersex (LGBTI) People Living with Disability</w:t>
        </w:r>
      </w:hyperlink>
      <w:r w:rsidRPr="00C92011">
        <w:t>,</w:t>
      </w:r>
      <w:r>
        <w:t xml:space="preserve"> Melbourne: </w:t>
      </w:r>
      <w:r w:rsidRPr="00C92011">
        <w:t>GLHV@ARCSHS, La Trobe University</w:t>
      </w:r>
      <w:r>
        <w:t>, at 54.</w:t>
      </w:r>
    </w:p>
  </w:footnote>
  <w:footnote w:id="36">
    <w:p w14:paraId="52862EB2" w14:textId="77777777" w:rsidR="00AD3240" w:rsidRDefault="00AD3240" w:rsidP="00AD3240">
      <w:pPr>
        <w:pStyle w:val="FootnoteText"/>
      </w:pPr>
      <w:r>
        <w:rPr>
          <w:rStyle w:val="FootnoteReference"/>
        </w:rPr>
        <w:footnoteRef/>
      </w:r>
      <w:r>
        <w:t xml:space="preserve"> </w:t>
      </w:r>
      <w:r w:rsidRPr="00861EE5">
        <w:t>Kerr</w:t>
      </w:r>
      <w:r>
        <w:t xml:space="preserve"> et al </w:t>
      </w:r>
      <w:r w:rsidRPr="00861EE5">
        <w:t xml:space="preserve"> (2019) </w:t>
      </w:r>
      <w:hyperlink r:id="rId7" w:history="1">
        <w:r w:rsidRPr="00861EE5">
          <w:rPr>
            <w:rStyle w:val="Hyperlink"/>
            <w:i/>
            <w:iCs/>
          </w:rPr>
          <w:t>TRANScending Discrimination in Health &amp; Cancer Care: A Study of Trans &amp; Gender Diverse Australians</w:t>
        </w:r>
      </w:hyperlink>
      <w:r>
        <w:t xml:space="preserve">, </w:t>
      </w:r>
      <w:r w:rsidRPr="00861EE5">
        <w:t xml:space="preserve">Bundoora: </w:t>
      </w:r>
      <w:r>
        <w:t>ARCSHS</w:t>
      </w:r>
      <w:r w:rsidRPr="00861EE5">
        <w:t>, La Trobe University</w:t>
      </w:r>
      <w:r>
        <w:t>, at 32-33.</w:t>
      </w:r>
    </w:p>
  </w:footnote>
  <w:footnote w:id="37">
    <w:p w14:paraId="00BA3B62" w14:textId="77777777" w:rsidR="00AD3240" w:rsidRPr="00620EBE" w:rsidRDefault="00AD3240" w:rsidP="00AD3240">
      <w:pPr>
        <w:pStyle w:val="FootnoteText"/>
      </w:pPr>
      <w:r>
        <w:rPr>
          <w:rStyle w:val="FootnoteReference"/>
        </w:rPr>
        <w:footnoteRef/>
      </w:r>
      <w:r>
        <w:t xml:space="preserve"> Jones (2016) </w:t>
      </w:r>
      <w:hyperlink r:id="rId8" w:history="1">
        <w:r w:rsidRPr="00620EBE">
          <w:rPr>
            <w:rStyle w:val="Hyperlink"/>
          </w:rPr>
          <w:t>‘The needs of students with intersex variations’</w:t>
        </w:r>
      </w:hyperlink>
      <w:r>
        <w:t xml:space="preserve">, </w:t>
      </w:r>
      <w:r>
        <w:rPr>
          <w:i/>
          <w:iCs/>
        </w:rPr>
        <w:t xml:space="preserve">Sex Education, </w:t>
      </w:r>
      <w:r>
        <w:t>at 13-14.</w:t>
      </w:r>
    </w:p>
  </w:footnote>
  <w:footnote w:id="38">
    <w:p w14:paraId="0384D47B" w14:textId="77777777" w:rsidR="00AD3240" w:rsidRDefault="00AD3240" w:rsidP="00AD3240">
      <w:pPr>
        <w:pStyle w:val="FootnoteText"/>
      </w:pPr>
      <w:r>
        <w:rPr>
          <w:rStyle w:val="FootnoteReference"/>
        </w:rPr>
        <w:footnoteRef/>
      </w:r>
      <w:r>
        <w:t xml:space="preserve"> </w:t>
      </w:r>
      <w:r w:rsidRPr="00822C18">
        <w:t>Hillier</w:t>
      </w:r>
      <w:r>
        <w:t xml:space="preserve"> et al </w:t>
      </w:r>
      <w:r w:rsidRPr="00822C18">
        <w:t xml:space="preserve">(2010) </w:t>
      </w:r>
      <w:hyperlink r:id="rId9" w:history="1">
        <w:r w:rsidRPr="00822C18">
          <w:rPr>
            <w:rStyle w:val="Hyperlink"/>
            <w:i/>
            <w:iCs/>
          </w:rPr>
          <w:t>Writing Themselves In 3</w:t>
        </w:r>
        <w:r w:rsidRPr="00822C18">
          <w:rPr>
            <w:rStyle w:val="Hyperlink"/>
          </w:rPr>
          <w:t>,</w:t>
        </w:r>
      </w:hyperlink>
      <w:r>
        <w:t xml:space="preserve"> Melbourne:</w:t>
      </w:r>
      <w:r w:rsidRPr="00822C18">
        <w:t xml:space="preserve"> </w:t>
      </w:r>
      <w:r>
        <w:t xml:space="preserve">ARCSHS, </w:t>
      </w:r>
      <w:r w:rsidRPr="00822C18">
        <w:t>La Trobe University</w:t>
      </w:r>
      <w:r>
        <w:t>, at 39.</w:t>
      </w:r>
    </w:p>
  </w:footnote>
  <w:footnote w:id="39">
    <w:p w14:paraId="19D816CE" w14:textId="77777777" w:rsidR="00AD3240" w:rsidRDefault="00AD3240" w:rsidP="00AD3240">
      <w:pPr>
        <w:pStyle w:val="FootnoteText"/>
      </w:pPr>
      <w:r>
        <w:rPr>
          <w:rStyle w:val="FootnoteReference"/>
        </w:rPr>
        <w:footnoteRef/>
      </w:r>
      <w:r>
        <w:t xml:space="preserve"> </w:t>
      </w:r>
      <w:r w:rsidRPr="00237FE8">
        <w:t>Centre for Social Research in Health (2019)</w:t>
      </w:r>
      <w:r w:rsidRPr="00237FE8">
        <w:rPr>
          <w:i/>
          <w:iCs/>
        </w:rPr>
        <w:t xml:space="preserve"> </w:t>
      </w:r>
      <w:hyperlink r:id="rId10" w:history="1">
        <w:r w:rsidRPr="00237FE8">
          <w:rPr>
            <w:rStyle w:val="Hyperlink"/>
            <w:i/>
            <w:iCs/>
          </w:rPr>
          <w:t>Stigma Indicators Monitoring Project: People living with HIV</w:t>
        </w:r>
      </w:hyperlink>
      <w:r>
        <w:t xml:space="preserve">, Sydney: </w:t>
      </w:r>
      <w:r w:rsidRPr="00237FE8">
        <w:t>CSRH, UNSW</w:t>
      </w:r>
      <w:r>
        <w:t>, at 1.</w:t>
      </w:r>
    </w:p>
  </w:footnote>
  <w:footnote w:id="40">
    <w:p w14:paraId="11EF8A94" w14:textId="77777777" w:rsidR="00AD3240" w:rsidRDefault="00AD3240" w:rsidP="00AD3240">
      <w:pPr>
        <w:pStyle w:val="FootnoteText"/>
      </w:pPr>
      <w:r>
        <w:rPr>
          <w:rStyle w:val="FootnoteReference"/>
        </w:rPr>
        <w:footnoteRef/>
      </w:r>
      <w:r>
        <w:t xml:space="preserve"> Ibid, at 2.</w:t>
      </w:r>
    </w:p>
  </w:footnote>
  <w:footnote w:id="41">
    <w:p w14:paraId="2DA40AA4" w14:textId="77777777" w:rsidR="00AD3240" w:rsidRDefault="00AD3240" w:rsidP="00AD3240">
      <w:pPr>
        <w:pStyle w:val="FootnoteText"/>
      </w:pPr>
      <w:r>
        <w:rPr>
          <w:rStyle w:val="FootnoteReference"/>
        </w:rPr>
        <w:footnoteRef/>
      </w:r>
      <w:r>
        <w:t xml:space="preserve"> Legislative Assembly Legal and Social Issues Committee (2021) </w:t>
      </w:r>
      <w:hyperlink r:id="rId11" w:history="1">
        <w:r w:rsidRPr="00B65C51">
          <w:rPr>
            <w:rStyle w:val="Hyperlink"/>
            <w:i/>
            <w:iCs/>
          </w:rPr>
          <w:t>Inquiry into Anti-Vilification Protections</w:t>
        </w:r>
      </w:hyperlink>
      <w:r>
        <w:rPr>
          <w:i/>
          <w:iCs/>
        </w:rPr>
        <w:t>,</w:t>
      </w:r>
      <w:r>
        <w:t xml:space="preserve"> Melbourne: Parliament of Victoria, Recommendations 9 and 10.</w:t>
      </w:r>
    </w:p>
  </w:footnote>
  <w:footnote w:id="42">
    <w:p w14:paraId="09390E6E" w14:textId="77777777" w:rsidR="00AD3240" w:rsidRPr="00B66618" w:rsidRDefault="00AD3240" w:rsidP="00AD3240">
      <w:pPr>
        <w:pStyle w:val="FootnoteText"/>
      </w:pPr>
      <w:r>
        <w:rPr>
          <w:rStyle w:val="FootnoteReference"/>
        </w:rPr>
        <w:footnoteRef/>
      </w:r>
      <w:r>
        <w:t xml:space="preserve"> </w:t>
      </w:r>
      <w:r>
        <w:rPr>
          <w:i/>
          <w:iCs/>
        </w:rPr>
        <w:t xml:space="preserve">Criminal Code 2002 </w:t>
      </w:r>
      <w:r>
        <w:t>(Cth), s 750.</w:t>
      </w:r>
    </w:p>
  </w:footnote>
  <w:footnote w:id="43">
    <w:p w14:paraId="6CEB3746" w14:textId="77777777" w:rsidR="00AD3240" w:rsidRPr="00E25B42" w:rsidRDefault="00AD3240" w:rsidP="00AD3240">
      <w:pPr>
        <w:pStyle w:val="FootnoteText"/>
      </w:pPr>
      <w:r>
        <w:rPr>
          <w:rStyle w:val="FootnoteReference"/>
        </w:rPr>
        <w:footnoteRef/>
      </w:r>
      <w:r>
        <w:t xml:space="preserve"> </w:t>
      </w:r>
      <w:r>
        <w:rPr>
          <w:i/>
          <w:iCs/>
        </w:rPr>
        <w:t xml:space="preserve">Crimes (Sentencing Procedure) Act 1999 </w:t>
      </w:r>
      <w:r>
        <w:t xml:space="preserve">(NSW), s 21A(2)(h) (aggravating factors); </w:t>
      </w:r>
      <w:r>
        <w:rPr>
          <w:i/>
          <w:iCs/>
        </w:rPr>
        <w:t xml:space="preserve">Sentencing Act 1995 </w:t>
      </w:r>
      <w:r>
        <w:t xml:space="preserve">(NT), s 6A(e) (aggravating factors); </w:t>
      </w:r>
      <w:r>
        <w:rPr>
          <w:i/>
          <w:iCs/>
        </w:rPr>
        <w:t xml:space="preserve">Sentencing Act 1991 </w:t>
      </w:r>
      <w:r>
        <w:t xml:space="preserve">(Vic), s 5(2)(daaa); </w:t>
      </w:r>
      <w:r w:rsidRPr="006A2BEE">
        <w:rPr>
          <w:i/>
          <w:iCs/>
        </w:rPr>
        <w:t>Sentencing (Hate Crimes) Amendment Act 2021</w:t>
      </w:r>
      <w:r>
        <w:t xml:space="preserve"> (SA).</w:t>
      </w:r>
    </w:p>
  </w:footnote>
  <w:footnote w:id="44">
    <w:p w14:paraId="39D61F99" w14:textId="77777777" w:rsidR="00DC7A60" w:rsidRDefault="00DC7A60" w:rsidP="00DC7A60">
      <w:pPr>
        <w:pStyle w:val="FootnoteText"/>
      </w:pPr>
      <w:r>
        <w:rPr>
          <w:rStyle w:val="FootnoteReference"/>
        </w:rPr>
        <w:footnoteRef/>
      </w:r>
      <w:r>
        <w:t xml:space="preserve"> See Discussion Paper, pp. 18.</w:t>
      </w:r>
    </w:p>
  </w:footnote>
  <w:footnote w:id="45">
    <w:p w14:paraId="668700C1" w14:textId="77777777" w:rsidR="00DC7A60" w:rsidRDefault="00DC7A60" w:rsidP="00DC7A60">
      <w:pPr>
        <w:pStyle w:val="FootnoteText"/>
      </w:pPr>
      <w:r>
        <w:rPr>
          <w:rStyle w:val="FootnoteReference"/>
        </w:rPr>
        <w:footnoteRef/>
      </w:r>
      <w:r>
        <w:t xml:space="preserve"> </w:t>
      </w:r>
      <w:r>
        <w:rPr>
          <w:i/>
          <w:iCs/>
        </w:rPr>
        <w:t xml:space="preserve">Human Rights Act 2004 </w:t>
      </w:r>
      <w:r>
        <w:t>(ACT), s 28.</w:t>
      </w:r>
    </w:p>
  </w:footnote>
  <w:footnote w:id="46">
    <w:p w14:paraId="19F49DEB" w14:textId="77777777" w:rsidR="00A41883" w:rsidRDefault="00A41883" w:rsidP="00A41883">
      <w:pPr>
        <w:pStyle w:val="FootnoteText"/>
      </w:pPr>
      <w:r>
        <w:rPr>
          <w:rStyle w:val="FootnoteReference"/>
        </w:rPr>
        <w:footnoteRef/>
      </w:r>
      <w:r>
        <w:t xml:space="preserve"> See Discussion Paper, pp. 10-12.</w:t>
      </w:r>
    </w:p>
  </w:footnote>
  <w:footnote w:id="47">
    <w:p w14:paraId="585AF96E" w14:textId="77777777" w:rsidR="00A41883" w:rsidRPr="00302BAE" w:rsidRDefault="00A41883" w:rsidP="00A41883">
      <w:pPr>
        <w:pStyle w:val="FootnoteText"/>
      </w:pPr>
      <w:r>
        <w:rPr>
          <w:rStyle w:val="FootnoteReference"/>
        </w:rPr>
        <w:footnoteRef/>
      </w:r>
      <w:r>
        <w:t xml:space="preserve"> See </w:t>
      </w:r>
      <w:r w:rsidRPr="00302BAE">
        <w:rPr>
          <w:i/>
          <w:iCs/>
        </w:rPr>
        <w:t>Commissioner of Police v Mohamed</w:t>
      </w:r>
      <w:r>
        <w:rPr>
          <w:i/>
          <w:iCs/>
        </w:rPr>
        <w:t xml:space="preserve"> </w:t>
      </w:r>
      <w:r>
        <w:t xml:space="preserve">[2009] NSWCA 432 cf </w:t>
      </w:r>
      <w:r w:rsidRPr="003A02A6">
        <w:rPr>
          <w:i/>
          <w:iCs/>
        </w:rPr>
        <w:t>Robinson v Commissioner of Police, NSW Police Force</w:t>
      </w:r>
      <w:r w:rsidRPr="003A02A6">
        <w:t xml:space="preserve"> [2013] FCAFC 64</w:t>
      </w:r>
      <w:r>
        <w:t>.</w:t>
      </w:r>
    </w:p>
  </w:footnote>
  <w:footnote w:id="48">
    <w:p w14:paraId="351FC3DF" w14:textId="77777777" w:rsidR="00A41883" w:rsidRDefault="00A41883" w:rsidP="00A41883">
      <w:pPr>
        <w:pStyle w:val="FootnoteText"/>
      </w:pPr>
      <w:r>
        <w:rPr>
          <w:rStyle w:val="FootnoteReference"/>
        </w:rPr>
        <w:footnoteRef/>
      </w:r>
      <w:r>
        <w:t xml:space="preserve"> See Discussion Paper, pp. 9.</w:t>
      </w:r>
    </w:p>
  </w:footnote>
  <w:footnote w:id="49">
    <w:p w14:paraId="3F4393CB" w14:textId="77777777" w:rsidR="00A41883" w:rsidRPr="0059615B" w:rsidRDefault="00A41883" w:rsidP="00A41883">
      <w:pPr>
        <w:pStyle w:val="FootnoteText"/>
      </w:pPr>
      <w:r>
        <w:rPr>
          <w:rStyle w:val="FootnoteReference"/>
        </w:rPr>
        <w:footnoteRef/>
      </w:r>
      <w:r>
        <w:t xml:space="preserve"> </w:t>
      </w:r>
      <w:r>
        <w:rPr>
          <w:i/>
          <w:iCs/>
        </w:rPr>
        <w:t xml:space="preserve">Anti-Discrimination Act 1991 </w:t>
      </w:r>
      <w:r>
        <w:t>(Qld), s 97.</w:t>
      </w:r>
    </w:p>
  </w:footnote>
  <w:footnote w:id="50">
    <w:p w14:paraId="1E89B1AF" w14:textId="77777777" w:rsidR="00A41883" w:rsidRPr="00A53B70" w:rsidRDefault="00A41883" w:rsidP="00A41883">
      <w:pPr>
        <w:pStyle w:val="FootnoteText"/>
      </w:pPr>
      <w:r>
        <w:rPr>
          <w:rStyle w:val="FootnoteReference"/>
        </w:rPr>
        <w:footnoteRef/>
      </w:r>
      <w:r>
        <w:t xml:space="preserve"> </w:t>
      </w:r>
      <w:r>
        <w:rPr>
          <w:i/>
          <w:iCs/>
        </w:rPr>
        <w:t>Sex Discrimination Act 1984</w:t>
      </w:r>
      <w:r>
        <w:t xml:space="preserve"> (Cth), s 41A.</w:t>
      </w:r>
    </w:p>
  </w:footnote>
  <w:footnote w:id="51">
    <w:p w14:paraId="23723F5F" w14:textId="77777777" w:rsidR="00A41883" w:rsidRDefault="00A41883" w:rsidP="00A41883">
      <w:pPr>
        <w:pStyle w:val="FootnoteText"/>
      </w:pPr>
      <w:r>
        <w:rPr>
          <w:rStyle w:val="FootnoteReference"/>
        </w:rPr>
        <w:footnoteRef/>
      </w:r>
      <w:r>
        <w:t xml:space="preserve"> </w:t>
      </w:r>
      <w:r w:rsidRPr="00FE1FDA">
        <w:rPr>
          <w:i/>
          <w:iCs/>
        </w:rPr>
        <w:t>Equal Opportunity Act 2010</w:t>
      </w:r>
      <w:r>
        <w:t xml:space="preserve"> (Vic), s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8069" w14:textId="27FA80F5" w:rsidR="005375D5" w:rsidRDefault="00B176F7" w:rsidP="00CA34DF">
    <w:pPr>
      <w:pStyle w:val="Header"/>
    </w:pPr>
    <w:r>
      <w:rPr>
        <w:noProof/>
      </w:rPr>
      <w:drawing>
        <wp:anchor distT="0" distB="0" distL="114300" distR="114300" simplePos="0" relativeHeight="251658240" behindDoc="1" locked="1" layoutInCell="1" allowOverlap="1" wp14:anchorId="50320FF1" wp14:editId="1B4BBD42">
          <wp:simplePos x="1258784" y="522514"/>
          <wp:positionH relativeFrom="page">
            <wp:align>left</wp:align>
          </wp:positionH>
          <wp:positionV relativeFrom="page">
            <wp:align>top</wp:align>
          </wp:positionV>
          <wp:extent cx="7560000" cy="10688400"/>
          <wp:effectExtent l="0" t="0" r="317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AU Report simple covers_Page_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FE6C" w14:textId="70C016C3" w:rsidR="008D531D" w:rsidRDefault="008D531D" w:rsidP="00CA3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079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509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5A1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342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645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9044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D249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418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CC23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5CD4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57125"/>
    <w:multiLevelType w:val="hybridMultilevel"/>
    <w:tmpl w:val="D6FE6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844748"/>
    <w:multiLevelType w:val="hybridMultilevel"/>
    <w:tmpl w:val="486846B2"/>
    <w:lvl w:ilvl="0" w:tplc="EE5CBFB0">
      <w:start w:val="1"/>
      <w:numFmt w:val="bullet"/>
      <w:pStyle w:val="Bullet"/>
      <w:lvlText w:val=""/>
      <w:lvlJc w:val="left"/>
      <w:pPr>
        <w:ind w:left="146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E07315"/>
    <w:multiLevelType w:val="hybridMultilevel"/>
    <w:tmpl w:val="65F8542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852403"/>
    <w:multiLevelType w:val="multilevel"/>
    <w:tmpl w:val="ECAAE00C"/>
    <w:lvl w:ilvl="0">
      <w:start w:val="1"/>
      <w:numFmt w:val="decimal"/>
      <w:pStyle w:val="Heading1"/>
      <w:lvlText w:val="%1."/>
      <w:lvlJc w:val="left"/>
      <w:pPr>
        <w:tabs>
          <w:tab w:val="num" w:pos="567"/>
        </w:tabs>
        <w:ind w:left="567" w:hanging="567"/>
      </w:pPr>
      <w:rPr>
        <w:rFonts w:hint="default"/>
      </w:rPr>
    </w:lvl>
    <w:lvl w:ilvl="1">
      <w:start w:val="1"/>
      <w:numFmt w:val="lowerLetter"/>
      <w:pStyle w:val="Heading2"/>
      <w:lvlText w:val="(%2)"/>
      <w:lvlJc w:val="left"/>
      <w:pPr>
        <w:tabs>
          <w:tab w:val="num" w:pos="1100"/>
        </w:tabs>
        <w:ind w:left="1100" w:hanging="53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FA725DE"/>
    <w:multiLevelType w:val="hybridMultilevel"/>
    <w:tmpl w:val="F94A15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7F174C"/>
    <w:multiLevelType w:val="hybridMultilevel"/>
    <w:tmpl w:val="E7CA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EA5BE6"/>
    <w:multiLevelType w:val="hybridMultilevel"/>
    <w:tmpl w:val="C64E2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231EE9"/>
    <w:multiLevelType w:val="hybridMultilevel"/>
    <w:tmpl w:val="B7CC8FBA"/>
    <w:lvl w:ilvl="0" w:tplc="390013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904080"/>
    <w:multiLevelType w:val="hybridMultilevel"/>
    <w:tmpl w:val="7C1CE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D35C5F"/>
    <w:multiLevelType w:val="hybridMultilevel"/>
    <w:tmpl w:val="E068ACAA"/>
    <w:lvl w:ilvl="0" w:tplc="3900137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8855D8"/>
    <w:multiLevelType w:val="hybridMultilevel"/>
    <w:tmpl w:val="86587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4"/>
  </w:num>
  <w:num w:numId="14">
    <w:abstractNumId w:val="12"/>
  </w:num>
  <w:num w:numId="15">
    <w:abstractNumId w:val="16"/>
  </w:num>
  <w:num w:numId="16">
    <w:abstractNumId w:val="1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7"/>
  </w:num>
  <w:num w:numId="20">
    <w:abstractNumId w:val="20"/>
  </w:num>
  <w:num w:numId="21">
    <w:abstractNumId w:val="15"/>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EQAUTable"/>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5D5"/>
    <w:rsid w:val="000070DA"/>
    <w:rsid w:val="00010D03"/>
    <w:rsid w:val="00011482"/>
    <w:rsid w:val="00012A91"/>
    <w:rsid w:val="000253F4"/>
    <w:rsid w:val="00025E9D"/>
    <w:rsid w:val="00026246"/>
    <w:rsid w:val="00027D94"/>
    <w:rsid w:val="000306C5"/>
    <w:rsid w:val="00032729"/>
    <w:rsid w:val="00033143"/>
    <w:rsid w:val="0004642C"/>
    <w:rsid w:val="00046CAE"/>
    <w:rsid w:val="00050456"/>
    <w:rsid w:val="000530B1"/>
    <w:rsid w:val="00057B5A"/>
    <w:rsid w:val="00062872"/>
    <w:rsid w:val="00062FA6"/>
    <w:rsid w:val="00070032"/>
    <w:rsid w:val="00074403"/>
    <w:rsid w:val="000812B1"/>
    <w:rsid w:val="00082510"/>
    <w:rsid w:val="00085654"/>
    <w:rsid w:val="000902E0"/>
    <w:rsid w:val="000B0ABC"/>
    <w:rsid w:val="000C23C7"/>
    <w:rsid w:val="000E0B7B"/>
    <w:rsid w:val="000E21A3"/>
    <w:rsid w:val="000E3FAB"/>
    <w:rsid w:val="000E511E"/>
    <w:rsid w:val="000F36E0"/>
    <w:rsid w:val="000F51A3"/>
    <w:rsid w:val="000F648B"/>
    <w:rsid w:val="00101221"/>
    <w:rsid w:val="00103361"/>
    <w:rsid w:val="0010760D"/>
    <w:rsid w:val="00107DCB"/>
    <w:rsid w:val="00111CB4"/>
    <w:rsid w:val="001168BB"/>
    <w:rsid w:val="00117B08"/>
    <w:rsid w:val="00130294"/>
    <w:rsid w:val="0013719B"/>
    <w:rsid w:val="0014424D"/>
    <w:rsid w:val="00145DD3"/>
    <w:rsid w:val="001608F0"/>
    <w:rsid w:val="00162649"/>
    <w:rsid w:val="001718A4"/>
    <w:rsid w:val="00171A54"/>
    <w:rsid w:val="001731D3"/>
    <w:rsid w:val="00182727"/>
    <w:rsid w:val="00182CE2"/>
    <w:rsid w:val="00184945"/>
    <w:rsid w:val="00192296"/>
    <w:rsid w:val="00193325"/>
    <w:rsid w:val="00194F18"/>
    <w:rsid w:val="001974B9"/>
    <w:rsid w:val="001A1E8C"/>
    <w:rsid w:val="001B3831"/>
    <w:rsid w:val="001B4576"/>
    <w:rsid w:val="001B575B"/>
    <w:rsid w:val="001B57A0"/>
    <w:rsid w:val="001C4464"/>
    <w:rsid w:val="001C7071"/>
    <w:rsid w:val="001D432D"/>
    <w:rsid w:val="001E01DC"/>
    <w:rsid w:val="001E1D79"/>
    <w:rsid w:val="001E1F48"/>
    <w:rsid w:val="001E4350"/>
    <w:rsid w:val="001E6353"/>
    <w:rsid w:val="001E7344"/>
    <w:rsid w:val="001F02D0"/>
    <w:rsid w:val="001F1114"/>
    <w:rsid w:val="001F476F"/>
    <w:rsid w:val="002003B4"/>
    <w:rsid w:val="00203FF5"/>
    <w:rsid w:val="00206A53"/>
    <w:rsid w:val="00210F48"/>
    <w:rsid w:val="00213F15"/>
    <w:rsid w:val="00216334"/>
    <w:rsid w:val="00216947"/>
    <w:rsid w:val="002200BD"/>
    <w:rsid w:val="002232B0"/>
    <w:rsid w:val="00223F49"/>
    <w:rsid w:val="00225B14"/>
    <w:rsid w:val="002276B3"/>
    <w:rsid w:val="0022791E"/>
    <w:rsid w:val="00227AFF"/>
    <w:rsid w:val="00230E38"/>
    <w:rsid w:val="00232E2D"/>
    <w:rsid w:val="0023427C"/>
    <w:rsid w:val="002354DE"/>
    <w:rsid w:val="00240AB6"/>
    <w:rsid w:val="002421C3"/>
    <w:rsid w:val="00246B91"/>
    <w:rsid w:val="00246D23"/>
    <w:rsid w:val="0025010C"/>
    <w:rsid w:val="00255856"/>
    <w:rsid w:val="00264F85"/>
    <w:rsid w:val="002678F4"/>
    <w:rsid w:val="00267AAF"/>
    <w:rsid w:val="002730EB"/>
    <w:rsid w:val="0028098D"/>
    <w:rsid w:val="002901FC"/>
    <w:rsid w:val="002935A7"/>
    <w:rsid w:val="00294E57"/>
    <w:rsid w:val="00296A8B"/>
    <w:rsid w:val="002A4144"/>
    <w:rsid w:val="002B2C49"/>
    <w:rsid w:val="002B7C21"/>
    <w:rsid w:val="002C07BF"/>
    <w:rsid w:val="002C19A4"/>
    <w:rsid w:val="002C7A8F"/>
    <w:rsid w:val="002D2F2E"/>
    <w:rsid w:val="002D70DA"/>
    <w:rsid w:val="002D75DF"/>
    <w:rsid w:val="002E15D3"/>
    <w:rsid w:val="002E6696"/>
    <w:rsid w:val="002F17A5"/>
    <w:rsid w:val="002F45F7"/>
    <w:rsid w:val="002F5FE4"/>
    <w:rsid w:val="00302F9A"/>
    <w:rsid w:val="00305E4C"/>
    <w:rsid w:val="003060DA"/>
    <w:rsid w:val="00307567"/>
    <w:rsid w:val="00312F82"/>
    <w:rsid w:val="00313175"/>
    <w:rsid w:val="0031655E"/>
    <w:rsid w:val="003205DE"/>
    <w:rsid w:val="0032539C"/>
    <w:rsid w:val="00326D04"/>
    <w:rsid w:val="00332459"/>
    <w:rsid w:val="003344AE"/>
    <w:rsid w:val="003412CC"/>
    <w:rsid w:val="00345020"/>
    <w:rsid w:val="00345D20"/>
    <w:rsid w:val="003471F1"/>
    <w:rsid w:val="003547A8"/>
    <w:rsid w:val="0035755E"/>
    <w:rsid w:val="00362AA1"/>
    <w:rsid w:val="00362E30"/>
    <w:rsid w:val="00370B94"/>
    <w:rsid w:val="003750F4"/>
    <w:rsid w:val="003760D0"/>
    <w:rsid w:val="003947D4"/>
    <w:rsid w:val="00396789"/>
    <w:rsid w:val="003A0CA3"/>
    <w:rsid w:val="003A3758"/>
    <w:rsid w:val="003A48C8"/>
    <w:rsid w:val="003B3E44"/>
    <w:rsid w:val="003B6AFE"/>
    <w:rsid w:val="003C2352"/>
    <w:rsid w:val="003C269C"/>
    <w:rsid w:val="003C550C"/>
    <w:rsid w:val="003F22C3"/>
    <w:rsid w:val="003F4874"/>
    <w:rsid w:val="003F6C67"/>
    <w:rsid w:val="00402465"/>
    <w:rsid w:val="00402622"/>
    <w:rsid w:val="004029AB"/>
    <w:rsid w:val="00403AA7"/>
    <w:rsid w:val="004046C1"/>
    <w:rsid w:val="004109B9"/>
    <w:rsid w:val="0041274A"/>
    <w:rsid w:val="00416307"/>
    <w:rsid w:val="00416309"/>
    <w:rsid w:val="004230C4"/>
    <w:rsid w:val="00434228"/>
    <w:rsid w:val="004349C8"/>
    <w:rsid w:val="00435453"/>
    <w:rsid w:val="004405F6"/>
    <w:rsid w:val="00441EF3"/>
    <w:rsid w:val="004423D5"/>
    <w:rsid w:val="0044264E"/>
    <w:rsid w:val="00443E79"/>
    <w:rsid w:val="0045004A"/>
    <w:rsid w:val="0045730B"/>
    <w:rsid w:val="0046131A"/>
    <w:rsid w:val="00464156"/>
    <w:rsid w:val="00464323"/>
    <w:rsid w:val="00465833"/>
    <w:rsid w:val="00484FD2"/>
    <w:rsid w:val="004A12B9"/>
    <w:rsid w:val="004A51BE"/>
    <w:rsid w:val="004A77A3"/>
    <w:rsid w:val="004B2E4A"/>
    <w:rsid w:val="004B3A78"/>
    <w:rsid w:val="004B6A3D"/>
    <w:rsid w:val="004C0FB4"/>
    <w:rsid w:val="004C5EBF"/>
    <w:rsid w:val="004C6952"/>
    <w:rsid w:val="004C7562"/>
    <w:rsid w:val="004D00F7"/>
    <w:rsid w:val="004D17BB"/>
    <w:rsid w:val="004D2341"/>
    <w:rsid w:val="004E0A10"/>
    <w:rsid w:val="004E42A1"/>
    <w:rsid w:val="004E4F98"/>
    <w:rsid w:val="004E6DFD"/>
    <w:rsid w:val="004F52C1"/>
    <w:rsid w:val="00500756"/>
    <w:rsid w:val="005047DF"/>
    <w:rsid w:val="00505935"/>
    <w:rsid w:val="00514E79"/>
    <w:rsid w:val="00516BA3"/>
    <w:rsid w:val="00525377"/>
    <w:rsid w:val="00527852"/>
    <w:rsid w:val="005308EE"/>
    <w:rsid w:val="005375D5"/>
    <w:rsid w:val="00540357"/>
    <w:rsid w:val="0055682C"/>
    <w:rsid w:val="00566A28"/>
    <w:rsid w:val="00566EDB"/>
    <w:rsid w:val="00567FD7"/>
    <w:rsid w:val="0057796F"/>
    <w:rsid w:val="00582515"/>
    <w:rsid w:val="0059419C"/>
    <w:rsid w:val="00595BCC"/>
    <w:rsid w:val="005A19A1"/>
    <w:rsid w:val="005A3E69"/>
    <w:rsid w:val="005A6425"/>
    <w:rsid w:val="005B7B72"/>
    <w:rsid w:val="005C2497"/>
    <w:rsid w:val="005C359A"/>
    <w:rsid w:val="005C5EF6"/>
    <w:rsid w:val="005D2EBF"/>
    <w:rsid w:val="005D6570"/>
    <w:rsid w:val="005D6F22"/>
    <w:rsid w:val="005E278C"/>
    <w:rsid w:val="005E4DE7"/>
    <w:rsid w:val="005E61F4"/>
    <w:rsid w:val="005E7E74"/>
    <w:rsid w:val="005F2FC0"/>
    <w:rsid w:val="005F6AAA"/>
    <w:rsid w:val="005F7810"/>
    <w:rsid w:val="00604990"/>
    <w:rsid w:val="00606FF3"/>
    <w:rsid w:val="0061181E"/>
    <w:rsid w:val="006122EB"/>
    <w:rsid w:val="006125F8"/>
    <w:rsid w:val="00615797"/>
    <w:rsid w:val="0061608C"/>
    <w:rsid w:val="00627E76"/>
    <w:rsid w:val="00630A9E"/>
    <w:rsid w:val="006331AA"/>
    <w:rsid w:val="0063377C"/>
    <w:rsid w:val="00641B2D"/>
    <w:rsid w:val="0064226B"/>
    <w:rsid w:val="00647F2F"/>
    <w:rsid w:val="00682FE0"/>
    <w:rsid w:val="00684372"/>
    <w:rsid w:val="006868A7"/>
    <w:rsid w:val="00687206"/>
    <w:rsid w:val="00691949"/>
    <w:rsid w:val="00694E07"/>
    <w:rsid w:val="0069605D"/>
    <w:rsid w:val="006A0796"/>
    <w:rsid w:val="006A2926"/>
    <w:rsid w:val="006A623F"/>
    <w:rsid w:val="006C4844"/>
    <w:rsid w:val="006D0234"/>
    <w:rsid w:val="006D206E"/>
    <w:rsid w:val="006D2E3B"/>
    <w:rsid w:val="006E4012"/>
    <w:rsid w:val="006E5962"/>
    <w:rsid w:val="006F7383"/>
    <w:rsid w:val="00707E33"/>
    <w:rsid w:val="007101BB"/>
    <w:rsid w:val="007144A2"/>
    <w:rsid w:val="00716288"/>
    <w:rsid w:val="0072012D"/>
    <w:rsid w:val="007237FE"/>
    <w:rsid w:val="00724B8E"/>
    <w:rsid w:val="00726075"/>
    <w:rsid w:val="007329AE"/>
    <w:rsid w:val="0073454F"/>
    <w:rsid w:val="00735275"/>
    <w:rsid w:val="00736833"/>
    <w:rsid w:val="00740206"/>
    <w:rsid w:val="00746ECD"/>
    <w:rsid w:val="00751A9D"/>
    <w:rsid w:val="00757624"/>
    <w:rsid w:val="007638D6"/>
    <w:rsid w:val="0076646E"/>
    <w:rsid w:val="007776FD"/>
    <w:rsid w:val="00780A42"/>
    <w:rsid w:val="00784A7D"/>
    <w:rsid w:val="00784BDD"/>
    <w:rsid w:val="00785FF4"/>
    <w:rsid w:val="00786476"/>
    <w:rsid w:val="00787427"/>
    <w:rsid w:val="007946D2"/>
    <w:rsid w:val="00795E6A"/>
    <w:rsid w:val="00797D5D"/>
    <w:rsid w:val="007A1574"/>
    <w:rsid w:val="007A1EEB"/>
    <w:rsid w:val="007A256A"/>
    <w:rsid w:val="007A4B5A"/>
    <w:rsid w:val="007A79DF"/>
    <w:rsid w:val="007B416D"/>
    <w:rsid w:val="007C0E65"/>
    <w:rsid w:val="007C37A6"/>
    <w:rsid w:val="007C45CE"/>
    <w:rsid w:val="007C6CBC"/>
    <w:rsid w:val="007C7D96"/>
    <w:rsid w:val="007D2EAD"/>
    <w:rsid w:val="007D4E56"/>
    <w:rsid w:val="007E0B58"/>
    <w:rsid w:val="007E2FE4"/>
    <w:rsid w:val="007E549D"/>
    <w:rsid w:val="007E6438"/>
    <w:rsid w:val="007F4AE5"/>
    <w:rsid w:val="007F5B9E"/>
    <w:rsid w:val="00815EBF"/>
    <w:rsid w:val="00820883"/>
    <w:rsid w:val="00825D2D"/>
    <w:rsid w:val="008265B0"/>
    <w:rsid w:val="008332B4"/>
    <w:rsid w:val="00833E95"/>
    <w:rsid w:val="0083435D"/>
    <w:rsid w:val="00844F95"/>
    <w:rsid w:val="00845C9E"/>
    <w:rsid w:val="00850EE5"/>
    <w:rsid w:val="00853B1B"/>
    <w:rsid w:val="00855A8D"/>
    <w:rsid w:val="00856665"/>
    <w:rsid w:val="008569AF"/>
    <w:rsid w:val="008617C5"/>
    <w:rsid w:val="00865C21"/>
    <w:rsid w:val="00867B5A"/>
    <w:rsid w:val="008714E4"/>
    <w:rsid w:val="00873AC7"/>
    <w:rsid w:val="00875577"/>
    <w:rsid w:val="00882C7F"/>
    <w:rsid w:val="0088400B"/>
    <w:rsid w:val="008963A7"/>
    <w:rsid w:val="008A2852"/>
    <w:rsid w:val="008A5BBB"/>
    <w:rsid w:val="008B0066"/>
    <w:rsid w:val="008B56B3"/>
    <w:rsid w:val="008C1505"/>
    <w:rsid w:val="008C1533"/>
    <w:rsid w:val="008C3673"/>
    <w:rsid w:val="008C5BED"/>
    <w:rsid w:val="008D0E55"/>
    <w:rsid w:val="008D12D3"/>
    <w:rsid w:val="008D1C74"/>
    <w:rsid w:val="008D1D04"/>
    <w:rsid w:val="008D38FB"/>
    <w:rsid w:val="008D531D"/>
    <w:rsid w:val="008E5475"/>
    <w:rsid w:val="008E73AE"/>
    <w:rsid w:val="008F4191"/>
    <w:rsid w:val="008F586C"/>
    <w:rsid w:val="00900A1B"/>
    <w:rsid w:val="00903C88"/>
    <w:rsid w:val="00904BBE"/>
    <w:rsid w:val="00904E0A"/>
    <w:rsid w:val="00906343"/>
    <w:rsid w:val="0091144E"/>
    <w:rsid w:val="009138CE"/>
    <w:rsid w:val="00914280"/>
    <w:rsid w:val="00915D7C"/>
    <w:rsid w:val="00915F4F"/>
    <w:rsid w:val="0091715A"/>
    <w:rsid w:val="00920969"/>
    <w:rsid w:val="00932039"/>
    <w:rsid w:val="00941A00"/>
    <w:rsid w:val="00951964"/>
    <w:rsid w:val="0095307B"/>
    <w:rsid w:val="00954901"/>
    <w:rsid w:val="00956601"/>
    <w:rsid w:val="0095661C"/>
    <w:rsid w:val="00962028"/>
    <w:rsid w:val="00970C41"/>
    <w:rsid w:val="00977645"/>
    <w:rsid w:val="00977850"/>
    <w:rsid w:val="009851CB"/>
    <w:rsid w:val="00994B05"/>
    <w:rsid w:val="009979B4"/>
    <w:rsid w:val="009A4019"/>
    <w:rsid w:val="009A738B"/>
    <w:rsid w:val="009A7E57"/>
    <w:rsid w:val="009B2378"/>
    <w:rsid w:val="009B38CB"/>
    <w:rsid w:val="009B725C"/>
    <w:rsid w:val="009C1CB4"/>
    <w:rsid w:val="009C290E"/>
    <w:rsid w:val="009D0272"/>
    <w:rsid w:val="009D50E9"/>
    <w:rsid w:val="009D6C7C"/>
    <w:rsid w:val="009E28FD"/>
    <w:rsid w:val="009E2A0C"/>
    <w:rsid w:val="009F380F"/>
    <w:rsid w:val="009F614F"/>
    <w:rsid w:val="00A0633D"/>
    <w:rsid w:val="00A16B51"/>
    <w:rsid w:val="00A20AFE"/>
    <w:rsid w:val="00A210B4"/>
    <w:rsid w:val="00A2291D"/>
    <w:rsid w:val="00A3175F"/>
    <w:rsid w:val="00A348B9"/>
    <w:rsid w:val="00A41883"/>
    <w:rsid w:val="00A43768"/>
    <w:rsid w:val="00A4455B"/>
    <w:rsid w:val="00A45BD0"/>
    <w:rsid w:val="00A53D3E"/>
    <w:rsid w:val="00A55C44"/>
    <w:rsid w:val="00A605C8"/>
    <w:rsid w:val="00A60B24"/>
    <w:rsid w:val="00A63A59"/>
    <w:rsid w:val="00A65EC8"/>
    <w:rsid w:val="00A74039"/>
    <w:rsid w:val="00A8036A"/>
    <w:rsid w:val="00A85DC1"/>
    <w:rsid w:val="00A86E04"/>
    <w:rsid w:val="00A91B85"/>
    <w:rsid w:val="00A94D1F"/>
    <w:rsid w:val="00A976C7"/>
    <w:rsid w:val="00AA1EB1"/>
    <w:rsid w:val="00AA68A3"/>
    <w:rsid w:val="00AB1782"/>
    <w:rsid w:val="00AB31F2"/>
    <w:rsid w:val="00AB3F3E"/>
    <w:rsid w:val="00AB47DC"/>
    <w:rsid w:val="00AC05F3"/>
    <w:rsid w:val="00AC1AC7"/>
    <w:rsid w:val="00AC7475"/>
    <w:rsid w:val="00AD072D"/>
    <w:rsid w:val="00AD1BD8"/>
    <w:rsid w:val="00AD3240"/>
    <w:rsid w:val="00AD37F9"/>
    <w:rsid w:val="00AE4E55"/>
    <w:rsid w:val="00AE5243"/>
    <w:rsid w:val="00AF3915"/>
    <w:rsid w:val="00AF4502"/>
    <w:rsid w:val="00AF7C41"/>
    <w:rsid w:val="00B003CF"/>
    <w:rsid w:val="00B02832"/>
    <w:rsid w:val="00B05D9A"/>
    <w:rsid w:val="00B12E98"/>
    <w:rsid w:val="00B13781"/>
    <w:rsid w:val="00B176F7"/>
    <w:rsid w:val="00B201EC"/>
    <w:rsid w:val="00B24728"/>
    <w:rsid w:val="00B32C55"/>
    <w:rsid w:val="00B3482C"/>
    <w:rsid w:val="00B40ED2"/>
    <w:rsid w:val="00B46A8A"/>
    <w:rsid w:val="00B52E07"/>
    <w:rsid w:val="00B54BB8"/>
    <w:rsid w:val="00B54D36"/>
    <w:rsid w:val="00B55E9F"/>
    <w:rsid w:val="00B626AB"/>
    <w:rsid w:val="00B6619B"/>
    <w:rsid w:val="00B70286"/>
    <w:rsid w:val="00B73B05"/>
    <w:rsid w:val="00B74EC7"/>
    <w:rsid w:val="00B74F11"/>
    <w:rsid w:val="00BB1FEC"/>
    <w:rsid w:val="00BB79D2"/>
    <w:rsid w:val="00BC002B"/>
    <w:rsid w:val="00BC15C8"/>
    <w:rsid w:val="00BF21F8"/>
    <w:rsid w:val="00C04169"/>
    <w:rsid w:val="00C175AE"/>
    <w:rsid w:val="00C34C41"/>
    <w:rsid w:val="00C37F55"/>
    <w:rsid w:val="00C52151"/>
    <w:rsid w:val="00C53654"/>
    <w:rsid w:val="00C57B95"/>
    <w:rsid w:val="00C60762"/>
    <w:rsid w:val="00C73E69"/>
    <w:rsid w:val="00C745FA"/>
    <w:rsid w:val="00C812A9"/>
    <w:rsid w:val="00C82228"/>
    <w:rsid w:val="00C83909"/>
    <w:rsid w:val="00C85C5C"/>
    <w:rsid w:val="00C91CFE"/>
    <w:rsid w:val="00C92651"/>
    <w:rsid w:val="00C93B81"/>
    <w:rsid w:val="00CA0EA1"/>
    <w:rsid w:val="00CA34DF"/>
    <w:rsid w:val="00CA3968"/>
    <w:rsid w:val="00CA432F"/>
    <w:rsid w:val="00CA4394"/>
    <w:rsid w:val="00CA4BA2"/>
    <w:rsid w:val="00CB3D47"/>
    <w:rsid w:val="00CB5F5D"/>
    <w:rsid w:val="00CB6E9E"/>
    <w:rsid w:val="00CC056F"/>
    <w:rsid w:val="00CC79ED"/>
    <w:rsid w:val="00CD20CF"/>
    <w:rsid w:val="00CD34BA"/>
    <w:rsid w:val="00CD4EC4"/>
    <w:rsid w:val="00CE3416"/>
    <w:rsid w:val="00CE54B2"/>
    <w:rsid w:val="00CF2475"/>
    <w:rsid w:val="00CF3932"/>
    <w:rsid w:val="00CF6025"/>
    <w:rsid w:val="00D02535"/>
    <w:rsid w:val="00D05B7C"/>
    <w:rsid w:val="00D23CF2"/>
    <w:rsid w:val="00D25C39"/>
    <w:rsid w:val="00D26E97"/>
    <w:rsid w:val="00D27BD4"/>
    <w:rsid w:val="00D32ABD"/>
    <w:rsid w:val="00D36FFE"/>
    <w:rsid w:val="00D440AE"/>
    <w:rsid w:val="00D442F9"/>
    <w:rsid w:val="00D50FB4"/>
    <w:rsid w:val="00D52E82"/>
    <w:rsid w:val="00D53164"/>
    <w:rsid w:val="00D57BC5"/>
    <w:rsid w:val="00D64230"/>
    <w:rsid w:val="00D71EAA"/>
    <w:rsid w:val="00D729D8"/>
    <w:rsid w:val="00D80715"/>
    <w:rsid w:val="00D81A50"/>
    <w:rsid w:val="00D91221"/>
    <w:rsid w:val="00D91694"/>
    <w:rsid w:val="00D968E3"/>
    <w:rsid w:val="00DA3A57"/>
    <w:rsid w:val="00DA3CB2"/>
    <w:rsid w:val="00DA52D2"/>
    <w:rsid w:val="00DC1717"/>
    <w:rsid w:val="00DC77CB"/>
    <w:rsid w:val="00DC7943"/>
    <w:rsid w:val="00DC7A60"/>
    <w:rsid w:val="00DD21D6"/>
    <w:rsid w:val="00DD77A7"/>
    <w:rsid w:val="00DE22DE"/>
    <w:rsid w:val="00DE7BF1"/>
    <w:rsid w:val="00DF2E94"/>
    <w:rsid w:val="00DF2EB2"/>
    <w:rsid w:val="00DF5577"/>
    <w:rsid w:val="00E01055"/>
    <w:rsid w:val="00E011D1"/>
    <w:rsid w:val="00E049F0"/>
    <w:rsid w:val="00E061B2"/>
    <w:rsid w:val="00E11F20"/>
    <w:rsid w:val="00E1208A"/>
    <w:rsid w:val="00E1375E"/>
    <w:rsid w:val="00E14673"/>
    <w:rsid w:val="00E21A80"/>
    <w:rsid w:val="00E2202E"/>
    <w:rsid w:val="00E27F7E"/>
    <w:rsid w:val="00E37262"/>
    <w:rsid w:val="00E37869"/>
    <w:rsid w:val="00E37EC4"/>
    <w:rsid w:val="00E4115C"/>
    <w:rsid w:val="00E43972"/>
    <w:rsid w:val="00E44416"/>
    <w:rsid w:val="00E44806"/>
    <w:rsid w:val="00E55965"/>
    <w:rsid w:val="00E577AE"/>
    <w:rsid w:val="00E61659"/>
    <w:rsid w:val="00E622CB"/>
    <w:rsid w:val="00E63590"/>
    <w:rsid w:val="00E67FB4"/>
    <w:rsid w:val="00E715F4"/>
    <w:rsid w:val="00E75A11"/>
    <w:rsid w:val="00E8244E"/>
    <w:rsid w:val="00E82F76"/>
    <w:rsid w:val="00E85F4B"/>
    <w:rsid w:val="00E916D3"/>
    <w:rsid w:val="00E92186"/>
    <w:rsid w:val="00E94F44"/>
    <w:rsid w:val="00EA4B28"/>
    <w:rsid w:val="00EB22E9"/>
    <w:rsid w:val="00EB37B5"/>
    <w:rsid w:val="00EB4137"/>
    <w:rsid w:val="00EB6370"/>
    <w:rsid w:val="00EB67D8"/>
    <w:rsid w:val="00EB7513"/>
    <w:rsid w:val="00EC3F0D"/>
    <w:rsid w:val="00EC4138"/>
    <w:rsid w:val="00ED62A8"/>
    <w:rsid w:val="00ED68FD"/>
    <w:rsid w:val="00ED6A17"/>
    <w:rsid w:val="00EE7CD4"/>
    <w:rsid w:val="00EF020F"/>
    <w:rsid w:val="00EF2953"/>
    <w:rsid w:val="00F1008B"/>
    <w:rsid w:val="00F11A56"/>
    <w:rsid w:val="00F14283"/>
    <w:rsid w:val="00F15466"/>
    <w:rsid w:val="00F16E57"/>
    <w:rsid w:val="00F21686"/>
    <w:rsid w:val="00F24EB0"/>
    <w:rsid w:val="00F27346"/>
    <w:rsid w:val="00F32D0A"/>
    <w:rsid w:val="00F337F1"/>
    <w:rsid w:val="00F34D17"/>
    <w:rsid w:val="00F37514"/>
    <w:rsid w:val="00F40E06"/>
    <w:rsid w:val="00F42471"/>
    <w:rsid w:val="00F43CFE"/>
    <w:rsid w:val="00F464FF"/>
    <w:rsid w:val="00F46F1B"/>
    <w:rsid w:val="00F47DB3"/>
    <w:rsid w:val="00F50F7A"/>
    <w:rsid w:val="00F5119F"/>
    <w:rsid w:val="00F52251"/>
    <w:rsid w:val="00F5516A"/>
    <w:rsid w:val="00F55FF5"/>
    <w:rsid w:val="00F66FC1"/>
    <w:rsid w:val="00F758FB"/>
    <w:rsid w:val="00F956BE"/>
    <w:rsid w:val="00F96D05"/>
    <w:rsid w:val="00F97D1F"/>
    <w:rsid w:val="00FA0053"/>
    <w:rsid w:val="00FA03E2"/>
    <w:rsid w:val="00FA29BE"/>
    <w:rsid w:val="00FA7960"/>
    <w:rsid w:val="00FA7A0C"/>
    <w:rsid w:val="00FB49E2"/>
    <w:rsid w:val="00FB532A"/>
    <w:rsid w:val="00FB7D9B"/>
    <w:rsid w:val="00FC4090"/>
    <w:rsid w:val="00FC6995"/>
    <w:rsid w:val="00FD2260"/>
    <w:rsid w:val="00FD2F22"/>
    <w:rsid w:val="00FD46EC"/>
    <w:rsid w:val="00FD4F44"/>
    <w:rsid w:val="00FE0DE1"/>
    <w:rsid w:val="00FF42A1"/>
    <w:rsid w:val="00FF5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C1DFB"/>
  <w14:defaultImageDpi w14:val="330"/>
  <w15:chartTrackingRefBased/>
  <w15:docId w15:val="{E7ECF746-A629-4292-BD2F-442C3C5A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EAA"/>
    <w:pPr>
      <w:spacing w:before="120" w:after="120" w:line="264" w:lineRule="auto"/>
    </w:pPr>
    <w:rPr>
      <w:spacing w:val="-2"/>
      <w:sz w:val="18"/>
    </w:rPr>
  </w:style>
  <w:style w:type="paragraph" w:styleId="Heading1">
    <w:name w:val="heading 1"/>
    <w:basedOn w:val="Normal"/>
    <w:next w:val="Normal"/>
    <w:link w:val="Heading1Char"/>
    <w:uiPriority w:val="9"/>
    <w:qFormat/>
    <w:rsid w:val="00CA34DF"/>
    <w:pPr>
      <w:keepNext/>
      <w:keepLines/>
      <w:numPr>
        <w:numId w:val="11"/>
      </w:numPr>
      <w:spacing w:before="300" w:after="100" w:line="216" w:lineRule="auto"/>
      <w:outlineLvl w:val="0"/>
    </w:pPr>
    <w:rPr>
      <w:rFonts w:ascii="Overpass" w:eastAsiaTheme="majorEastAsia" w:hAnsi="Overpass" w:cstheme="majorBidi"/>
      <w:caps/>
      <w:color w:val="000000" w:themeColor="text1"/>
      <w:sz w:val="30"/>
      <w:szCs w:val="32"/>
    </w:rPr>
  </w:style>
  <w:style w:type="paragraph" w:styleId="Heading2">
    <w:name w:val="heading 2"/>
    <w:basedOn w:val="Normal"/>
    <w:next w:val="Normal"/>
    <w:link w:val="Heading2Char"/>
    <w:uiPriority w:val="9"/>
    <w:unhideWhenUsed/>
    <w:qFormat/>
    <w:rsid w:val="00BB79D2"/>
    <w:pPr>
      <w:keepNext/>
      <w:keepLines/>
      <w:numPr>
        <w:ilvl w:val="1"/>
        <w:numId w:val="11"/>
      </w:numPr>
      <w:spacing w:before="180" w:after="0" w:line="216" w:lineRule="auto"/>
      <w:outlineLvl w:val="1"/>
    </w:pPr>
    <w:rPr>
      <w:rFonts w:ascii="Overpass" w:eastAsiaTheme="majorEastAsia" w:hAnsi="Overpass" w:cstheme="majorBidi"/>
      <w:sz w:val="24"/>
      <w:szCs w:val="26"/>
    </w:rPr>
  </w:style>
  <w:style w:type="paragraph" w:styleId="Heading3">
    <w:name w:val="heading 3"/>
    <w:basedOn w:val="Normal"/>
    <w:next w:val="Normal"/>
    <w:link w:val="Heading3Char"/>
    <w:uiPriority w:val="9"/>
    <w:unhideWhenUsed/>
    <w:qFormat/>
    <w:rsid w:val="00BB79D2"/>
    <w:pPr>
      <w:keepNext/>
      <w:keepLines/>
      <w:spacing w:before="180"/>
      <w:outlineLvl w:val="2"/>
    </w:pPr>
    <w:rPr>
      <w:rFonts w:asciiTheme="majorHAnsi" w:eastAsiaTheme="majorEastAsia" w:hAnsiTheme="majorHAnsi" w:cstheme="majorBidi"/>
      <w:caps/>
      <w:color w:val="00A0E6" w:themeColor="accent1"/>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5D5"/>
  </w:style>
  <w:style w:type="paragraph" w:styleId="Footer">
    <w:name w:val="footer"/>
    <w:basedOn w:val="Normal"/>
    <w:link w:val="FooterChar"/>
    <w:uiPriority w:val="99"/>
    <w:unhideWhenUsed/>
    <w:rsid w:val="008D531D"/>
    <w:pPr>
      <w:pBdr>
        <w:top w:val="single" w:sz="4" w:space="5" w:color="auto"/>
        <w:bottom w:val="single" w:sz="4" w:space="6" w:color="auto"/>
      </w:pBdr>
      <w:tabs>
        <w:tab w:val="center" w:pos="4680"/>
        <w:tab w:val="right" w:pos="9360"/>
      </w:tabs>
      <w:spacing w:before="0" w:after="220" w:line="204" w:lineRule="auto"/>
    </w:pPr>
    <w:rPr>
      <w:rFonts w:ascii="Overpass" w:hAnsi="Overpass"/>
      <w:color w:val="808080"/>
      <w:sz w:val="16"/>
    </w:rPr>
  </w:style>
  <w:style w:type="character" w:customStyle="1" w:styleId="FooterChar">
    <w:name w:val="Footer Char"/>
    <w:basedOn w:val="DefaultParagraphFont"/>
    <w:link w:val="Footer"/>
    <w:uiPriority w:val="99"/>
    <w:rsid w:val="008D531D"/>
    <w:rPr>
      <w:rFonts w:ascii="Overpass" w:hAnsi="Overpass"/>
      <w:color w:val="808080"/>
      <w:spacing w:val="-2"/>
      <w:sz w:val="16"/>
    </w:rPr>
  </w:style>
  <w:style w:type="paragraph" w:customStyle="1" w:styleId="Section">
    <w:name w:val="Section"/>
    <w:basedOn w:val="Normal"/>
    <w:uiPriority w:val="8"/>
    <w:qFormat/>
    <w:rsid w:val="00EB6370"/>
    <w:pPr>
      <w:spacing w:line="204" w:lineRule="auto"/>
      <w:outlineLvl w:val="0"/>
    </w:pPr>
    <w:rPr>
      <w:rFonts w:asciiTheme="majorHAnsi" w:hAnsiTheme="majorHAnsi"/>
      <w:caps/>
      <w:color w:val="00A0E6" w:themeColor="accent1"/>
      <w:spacing w:val="0"/>
      <w:sz w:val="46"/>
    </w:rPr>
  </w:style>
  <w:style w:type="character" w:customStyle="1" w:styleId="Heading1Char">
    <w:name w:val="Heading 1 Char"/>
    <w:basedOn w:val="DefaultParagraphFont"/>
    <w:link w:val="Heading1"/>
    <w:uiPriority w:val="9"/>
    <w:rsid w:val="00CA34DF"/>
    <w:rPr>
      <w:rFonts w:ascii="Overpass" w:eastAsiaTheme="majorEastAsia" w:hAnsi="Overpass" w:cstheme="majorBidi"/>
      <w:caps/>
      <w:color w:val="000000" w:themeColor="text1"/>
      <w:spacing w:val="-2"/>
      <w:sz w:val="30"/>
      <w:szCs w:val="32"/>
    </w:rPr>
  </w:style>
  <w:style w:type="character" w:customStyle="1" w:styleId="Heading2Char">
    <w:name w:val="Heading 2 Char"/>
    <w:basedOn w:val="DefaultParagraphFont"/>
    <w:link w:val="Heading2"/>
    <w:uiPriority w:val="9"/>
    <w:rsid w:val="00BB79D2"/>
    <w:rPr>
      <w:rFonts w:ascii="Overpass" w:eastAsiaTheme="majorEastAsia" w:hAnsi="Overpass" w:cstheme="majorBidi"/>
      <w:spacing w:val="-2"/>
      <w:sz w:val="24"/>
      <w:szCs w:val="26"/>
    </w:rPr>
  </w:style>
  <w:style w:type="paragraph" w:customStyle="1" w:styleId="Bullet">
    <w:name w:val="Bullet"/>
    <w:basedOn w:val="Normal"/>
    <w:uiPriority w:val="1"/>
    <w:qFormat/>
    <w:rsid w:val="007D2EAD"/>
    <w:pPr>
      <w:numPr>
        <w:numId w:val="12"/>
      </w:numPr>
      <w:spacing w:before="100" w:after="100"/>
    </w:pPr>
  </w:style>
  <w:style w:type="character" w:customStyle="1" w:styleId="Heading3Char">
    <w:name w:val="Heading 3 Char"/>
    <w:basedOn w:val="DefaultParagraphFont"/>
    <w:link w:val="Heading3"/>
    <w:uiPriority w:val="9"/>
    <w:rsid w:val="00BB79D2"/>
    <w:rPr>
      <w:rFonts w:asciiTheme="majorHAnsi" w:eastAsiaTheme="majorEastAsia" w:hAnsiTheme="majorHAnsi" w:cstheme="majorBidi"/>
      <w:caps/>
      <w:color w:val="00A0E6" w:themeColor="accent1"/>
      <w:sz w:val="24"/>
      <w:szCs w:val="24"/>
    </w:rPr>
  </w:style>
  <w:style w:type="paragraph" w:customStyle="1" w:styleId="Tabletext">
    <w:name w:val="Table text"/>
    <w:basedOn w:val="Normal"/>
    <w:uiPriority w:val="1"/>
    <w:qFormat/>
    <w:rsid w:val="00694E07"/>
    <w:pPr>
      <w:spacing w:before="80" w:after="80" w:line="240" w:lineRule="auto"/>
    </w:pPr>
  </w:style>
  <w:style w:type="paragraph" w:customStyle="1" w:styleId="Tableheading">
    <w:name w:val="Table heading"/>
    <w:basedOn w:val="Normal"/>
    <w:uiPriority w:val="1"/>
    <w:qFormat/>
    <w:rsid w:val="00694E07"/>
    <w:pPr>
      <w:spacing w:before="80" w:after="80" w:line="240" w:lineRule="auto"/>
    </w:pPr>
    <w:rPr>
      <w:rFonts w:ascii="Overpass" w:hAnsi="Overpass"/>
      <w:b/>
      <w:caps/>
    </w:rPr>
  </w:style>
  <w:style w:type="paragraph" w:styleId="FootnoteText">
    <w:name w:val="footnote text"/>
    <w:basedOn w:val="Normal"/>
    <w:link w:val="FootnoteTextChar"/>
    <w:uiPriority w:val="99"/>
    <w:unhideWhenUsed/>
    <w:rsid w:val="00A86E04"/>
    <w:pPr>
      <w:spacing w:after="0" w:line="240" w:lineRule="auto"/>
    </w:pPr>
    <w:rPr>
      <w:sz w:val="14"/>
      <w:szCs w:val="20"/>
    </w:rPr>
  </w:style>
  <w:style w:type="character" w:customStyle="1" w:styleId="FootnoteTextChar">
    <w:name w:val="Footnote Text Char"/>
    <w:basedOn w:val="DefaultParagraphFont"/>
    <w:link w:val="FootnoteText"/>
    <w:uiPriority w:val="99"/>
    <w:rsid w:val="00A86E04"/>
    <w:rPr>
      <w:sz w:val="14"/>
      <w:szCs w:val="20"/>
    </w:rPr>
  </w:style>
  <w:style w:type="character" w:styleId="PageNumber">
    <w:name w:val="page number"/>
    <w:basedOn w:val="DefaultParagraphFont"/>
    <w:uiPriority w:val="99"/>
    <w:unhideWhenUsed/>
    <w:rsid w:val="005375D5"/>
  </w:style>
  <w:style w:type="paragraph" w:customStyle="1" w:styleId="Page">
    <w:name w:val="Page"/>
    <w:basedOn w:val="Normal"/>
    <w:uiPriority w:val="99"/>
    <w:rsid w:val="0031655E"/>
    <w:pPr>
      <w:spacing w:before="180"/>
    </w:pPr>
    <w:rPr>
      <w:caps/>
      <w:sz w:val="14"/>
    </w:rPr>
  </w:style>
  <w:style w:type="table" w:styleId="TableGrid">
    <w:name w:val="Table Grid"/>
    <w:basedOn w:val="TableNormal"/>
    <w:uiPriority w:val="39"/>
    <w:rsid w:val="0020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003B4"/>
    <w:pPr>
      <w:spacing w:after="0" w:line="240" w:lineRule="auto"/>
    </w:pPr>
    <w:tblPr>
      <w:tblStyleRowBandSize w:val="1"/>
      <w:tblStyleColBandSize w:val="1"/>
      <w:tblBorders>
        <w:top w:val="single" w:sz="4" w:space="0" w:color="00A0E6" w:themeColor="accent1"/>
        <w:left w:val="single" w:sz="4" w:space="0" w:color="00A0E6" w:themeColor="accent1"/>
        <w:bottom w:val="single" w:sz="4" w:space="0" w:color="00A0E6" w:themeColor="accent1"/>
        <w:right w:val="single" w:sz="4" w:space="0" w:color="00A0E6" w:themeColor="accent1"/>
      </w:tblBorders>
    </w:tblPr>
    <w:tblStylePr w:type="firstRow">
      <w:rPr>
        <w:b/>
        <w:bCs/>
        <w:color w:val="FFFFFF" w:themeColor="background1"/>
      </w:rPr>
      <w:tblPr/>
      <w:tcPr>
        <w:shd w:val="clear" w:color="auto" w:fill="00A0E6" w:themeFill="accent1"/>
      </w:tcPr>
    </w:tblStylePr>
    <w:tblStylePr w:type="lastRow">
      <w:rPr>
        <w:b/>
        <w:bCs/>
      </w:rPr>
      <w:tblPr/>
      <w:tcPr>
        <w:tcBorders>
          <w:top w:val="double" w:sz="4" w:space="0" w:color="00A0E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0E6" w:themeColor="accent1"/>
          <w:right w:val="single" w:sz="4" w:space="0" w:color="00A0E6" w:themeColor="accent1"/>
        </w:tcBorders>
      </w:tcPr>
    </w:tblStylePr>
    <w:tblStylePr w:type="band1Horz">
      <w:tblPr/>
      <w:tcPr>
        <w:tcBorders>
          <w:top w:val="single" w:sz="4" w:space="0" w:color="00A0E6" w:themeColor="accent1"/>
          <w:bottom w:val="single" w:sz="4" w:space="0" w:color="00A0E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0E6" w:themeColor="accent1"/>
          <w:left w:val="nil"/>
        </w:tcBorders>
      </w:tcPr>
    </w:tblStylePr>
    <w:tblStylePr w:type="swCell">
      <w:tblPr/>
      <w:tcPr>
        <w:tcBorders>
          <w:top w:val="double" w:sz="4" w:space="0" w:color="00A0E6" w:themeColor="accent1"/>
          <w:right w:val="nil"/>
        </w:tcBorders>
      </w:tcPr>
    </w:tblStylePr>
  </w:style>
  <w:style w:type="table" w:styleId="TableGridLight">
    <w:name w:val="Grid Table Light"/>
    <w:basedOn w:val="TableNormal"/>
    <w:uiPriority w:val="40"/>
    <w:rsid w:val="002003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853B1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EQAUTable">
    <w:name w:val="EQAU Table"/>
    <w:basedOn w:val="TableNormal"/>
    <w:uiPriority w:val="99"/>
    <w:rsid w:val="00EB6370"/>
    <w:pPr>
      <w:spacing w:after="0" w:line="240" w:lineRule="auto"/>
    </w:pPr>
    <w:tblPr>
      <w:tblBorders>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FFFFFF" w:themeColor="background1"/>
          <w:left w:val="single" w:sz="4" w:space="0" w:color="00A0E6" w:themeColor="accent1"/>
          <w:bottom w:val="single" w:sz="4" w:space="0" w:color="FFFFFF" w:themeColor="background1"/>
          <w:right w:val="nil"/>
          <w:insideH w:val="single" w:sz="4" w:space="0" w:color="FFFFFF" w:themeColor="background1"/>
          <w:insideV w:val="single" w:sz="4" w:space="0" w:color="FFFFFF" w:themeColor="background1"/>
        </w:tcBorders>
        <w:shd w:val="clear" w:color="auto" w:fill="00A0E6" w:themeFill="accent1"/>
      </w:tcPr>
    </w:tblStylePr>
  </w:style>
  <w:style w:type="character" w:styleId="FootnoteReference">
    <w:name w:val="footnote reference"/>
    <w:basedOn w:val="DefaultParagraphFont"/>
    <w:uiPriority w:val="99"/>
    <w:semiHidden/>
    <w:unhideWhenUsed/>
    <w:rsid w:val="007D2EAD"/>
    <w:rPr>
      <w:vertAlign w:val="superscript"/>
    </w:rPr>
  </w:style>
  <w:style w:type="paragraph" w:customStyle="1" w:styleId="P1Footer">
    <w:name w:val="P1 Footer"/>
    <w:basedOn w:val="Footer"/>
    <w:uiPriority w:val="99"/>
    <w:rsid w:val="00223F49"/>
    <w:pPr>
      <w:pBdr>
        <w:top w:val="none" w:sz="0" w:space="0" w:color="auto"/>
        <w:bottom w:val="single" w:sz="8" w:space="8" w:color="auto"/>
      </w:pBdr>
    </w:pPr>
    <w:rPr>
      <w:color w:val="000000" w:themeColor="text1"/>
      <w:sz w:val="24"/>
    </w:rPr>
  </w:style>
  <w:style w:type="paragraph" w:styleId="Title">
    <w:name w:val="Title"/>
    <w:basedOn w:val="Normal"/>
    <w:next w:val="Normal"/>
    <w:link w:val="TitleChar"/>
    <w:uiPriority w:val="10"/>
    <w:qFormat/>
    <w:rsid w:val="00BB79D2"/>
    <w:pPr>
      <w:spacing w:before="0" w:after="0" w:line="192" w:lineRule="auto"/>
      <w:contextualSpacing/>
    </w:pPr>
    <w:rPr>
      <w:rFonts w:asciiTheme="majorHAnsi" w:eastAsiaTheme="majorEastAsia" w:hAnsiTheme="majorHAnsi" w:cstheme="majorBidi"/>
      <w:caps/>
      <w:color w:val="FFFFFF" w:themeColor="background1"/>
      <w:spacing w:val="-10"/>
      <w:kern w:val="28"/>
      <w:sz w:val="74"/>
      <w:szCs w:val="56"/>
    </w:rPr>
  </w:style>
  <w:style w:type="character" w:customStyle="1" w:styleId="TitleChar">
    <w:name w:val="Title Char"/>
    <w:basedOn w:val="DefaultParagraphFont"/>
    <w:link w:val="Title"/>
    <w:uiPriority w:val="10"/>
    <w:rsid w:val="00BB79D2"/>
    <w:rPr>
      <w:rFonts w:asciiTheme="majorHAnsi" w:eastAsiaTheme="majorEastAsia" w:hAnsiTheme="majorHAnsi" w:cstheme="majorBidi"/>
      <w:caps/>
      <w:color w:val="FFFFFF" w:themeColor="background1"/>
      <w:spacing w:val="-10"/>
      <w:kern w:val="28"/>
      <w:sz w:val="74"/>
      <w:szCs w:val="56"/>
    </w:rPr>
  </w:style>
  <w:style w:type="paragraph" w:styleId="Subtitle">
    <w:name w:val="Subtitle"/>
    <w:basedOn w:val="Normal"/>
    <w:next w:val="Normal"/>
    <w:link w:val="SubtitleChar"/>
    <w:uiPriority w:val="11"/>
    <w:qFormat/>
    <w:rsid w:val="00951964"/>
    <w:pPr>
      <w:numPr>
        <w:ilvl w:val="1"/>
      </w:numPr>
      <w:spacing w:before="160" w:after="160" w:line="216" w:lineRule="auto"/>
    </w:pPr>
    <w:rPr>
      <w:rFonts w:ascii="Overpass" w:eastAsiaTheme="minorEastAsia" w:hAnsi="Overpass"/>
      <w:caps/>
      <w:color w:val="FFFFFF" w:themeColor="background1"/>
      <w:spacing w:val="0"/>
      <w:sz w:val="24"/>
    </w:rPr>
  </w:style>
  <w:style w:type="character" w:customStyle="1" w:styleId="SubtitleChar">
    <w:name w:val="Subtitle Char"/>
    <w:basedOn w:val="DefaultParagraphFont"/>
    <w:link w:val="Subtitle"/>
    <w:uiPriority w:val="11"/>
    <w:rsid w:val="00951964"/>
    <w:rPr>
      <w:rFonts w:ascii="Overpass" w:eastAsiaTheme="minorEastAsia" w:hAnsi="Overpass"/>
      <w:caps/>
      <w:color w:val="FFFFFF" w:themeColor="background1"/>
      <w:sz w:val="24"/>
    </w:rPr>
  </w:style>
  <w:style w:type="paragraph" w:styleId="TOCHeading">
    <w:name w:val="TOC Heading"/>
    <w:basedOn w:val="Heading1"/>
    <w:next w:val="Normal"/>
    <w:uiPriority w:val="39"/>
    <w:unhideWhenUsed/>
    <w:qFormat/>
    <w:rsid w:val="00BB79D2"/>
    <w:pPr>
      <w:numPr>
        <w:numId w:val="0"/>
      </w:numPr>
      <w:spacing w:before="240" w:after="0" w:line="264" w:lineRule="auto"/>
      <w:outlineLvl w:val="9"/>
    </w:pPr>
    <w:rPr>
      <w:rFonts w:asciiTheme="majorHAnsi" w:hAnsiTheme="majorHAnsi"/>
      <w:color w:val="00A0E6" w:themeColor="accent1"/>
      <w:sz w:val="32"/>
    </w:rPr>
  </w:style>
  <w:style w:type="paragraph" w:styleId="TOC1">
    <w:name w:val="toc 1"/>
    <w:basedOn w:val="Normal"/>
    <w:next w:val="Normal"/>
    <w:autoRedefine/>
    <w:uiPriority w:val="39"/>
    <w:unhideWhenUsed/>
    <w:rsid w:val="00BB79D2"/>
    <w:pPr>
      <w:spacing w:after="100"/>
    </w:pPr>
  </w:style>
  <w:style w:type="paragraph" w:styleId="TOC2">
    <w:name w:val="toc 2"/>
    <w:basedOn w:val="Normal"/>
    <w:next w:val="Normal"/>
    <w:autoRedefine/>
    <w:uiPriority w:val="39"/>
    <w:unhideWhenUsed/>
    <w:rsid w:val="00BB79D2"/>
    <w:pPr>
      <w:spacing w:after="100"/>
      <w:ind w:left="180"/>
    </w:pPr>
  </w:style>
  <w:style w:type="character" w:styleId="Hyperlink">
    <w:name w:val="Hyperlink"/>
    <w:basedOn w:val="DefaultParagraphFont"/>
    <w:uiPriority w:val="99"/>
    <w:unhideWhenUsed/>
    <w:rsid w:val="00BB79D2"/>
    <w:rPr>
      <w:color w:val="1C77A4" w:themeColor="hyperlink"/>
      <w:u w:val="single"/>
    </w:rPr>
  </w:style>
  <w:style w:type="paragraph" w:customStyle="1" w:styleId="Intro">
    <w:name w:val="Intro"/>
    <w:basedOn w:val="Normal"/>
    <w:uiPriority w:val="1"/>
    <w:qFormat/>
    <w:rsid w:val="00B54BB8"/>
    <w:rPr>
      <w:rFonts w:ascii="Overpass" w:hAnsi="Overpass"/>
      <w:b/>
    </w:rPr>
  </w:style>
  <w:style w:type="paragraph" w:styleId="NoSpacing">
    <w:name w:val="No Spacing"/>
    <w:uiPriority w:val="1"/>
    <w:qFormat/>
    <w:rsid w:val="00735275"/>
    <w:pPr>
      <w:spacing w:after="0" w:line="240" w:lineRule="auto"/>
    </w:pPr>
    <w:rPr>
      <w:spacing w:val="-2"/>
      <w:sz w:val="18"/>
    </w:rPr>
  </w:style>
  <w:style w:type="paragraph" w:customStyle="1" w:styleId="FooterEQAU">
    <w:name w:val="FooterEQAU"/>
    <w:next w:val="Normal"/>
    <w:qFormat/>
    <w:rsid w:val="00735275"/>
    <w:pPr>
      <w:spacing w:after="0" w:line="240" w:lineRule="auto"/>
    </w:pPr>
    <w:rPr>
      <w:rFonts w:ascii="PHOSPHATESOLID" w:hAnsi="PHOSPHATESOLID"/>
      <w:caps/>
      <w:color w:val="000000" w:themeColor="text1"/>
      <w:sz w:val="24"/>
    </w:rPr>
  </w:style>
  <w:style w:type="paragraph" w:customStyle="1" w:styleId="FooterP1EQAU">
    <w:name w:val="Footer P1 EQAU"/>
    <w:next w:val="Normal"/>
    <w:qFormat/>
    <w:rsid w:val="00735275"/>
    <w:pPr>
      <w:spacing w:after="0" w:line="240" w:lineRule="auto"/>
    </w:pPr>
    <w:rPr>
      <w:rFonts w:ascii="PHOSPHATESOLID" w:hAnsi="PHOSPHATESOLID"/>
      <w:caps/>
      <w:spacing w:val="-2"/>
      <w:sz w:val="24"/>
    </w:rPr>
  </w:style>
  <w:style w:type="paragraph" w:styleId="ListParagraph">
    <w:name w:val="List Paragraph"/>
    <w:basedOn w:val="Normal"/>
    <w:uiPriority w:val="34"/>
    <w:qFormat/>
    <w:rsid w:val="00D25C39"/>
    <w:pPr>
      <w:ind w:left="720"/>
      <w:contextualSpacing/>
    </w:pPr>
  </w:style>
  <w:style w:type="character" w:styleId="Strong">
    <w:name w:val="Strong"/>
    <w:basedOn w:val="DefaultParagraphFont"/>
    <w:uiPriority w:val="22"/>
    <w:qFormat/>
    <w:rsid w:val="0095661C"/>
    <w:rPr>
      <w:b/>
      <w:bCs/>
    </w:rPr>
  </w:style>
  <w:style w:type="character" w:styleId="UnresolvedMention">
    <w:name w:val="Unresolved Mention"/>
    <w:basedOn w:val="DefaultParagraphFont"/>
    <w:uiPriority w:val="99"/>
    <w:semiHidden/>
    <w:unhideWhenUsed/>
    <w:rsid w:val="00F47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s://www.tandfonline.com/doi/full/10.1080/14681811.2016.1149808" TargetMode="External"/><Relationship Id="rId3" Type="http://schemas.openxmlformats.org/officeDocument/2006/relationships/hyperlink" Target="https://www.smh.com.au/national/steph-lentz-was-sacked-this-year-for-being-gay-it-was-perfectly-legal-20210809-p58gzv.html" TargetMode="External"/><Relationship Id="rId7" Type="http://schemas.openxmlformats.org/officeDocument/2006/relationships/hyperlink" Target="https://latrobe.figshare.com/articles/TRANScending_discrimination_in_health_cancer_care_A_study_of_trans_gender_diverse_Australians/9122123" TargetMode="External"/><Relationship Id="rId2" Type="http://schemas.openxmlformats.org/officeDocument/2006/relationships/hyperlink" Target="https://equalityaustralia.org.au/rachel-colvin-files-discrimination-complaint-against-ballarat-christian-college/" TargetMode="External"/><Relationship Id="rId1" Type="http://schemas.openxmlformats.org/officeDocument/2006/relationships/hyperlink" Target="https://www.refworld.org/docid/453883fa8.html" TargetMode="External"/><Relationship Id="rId6" Type="http://schemas.openxmlformats.org/officeDocument/2006/relationships/hyperlink" Target="https://www.latrobe.edu.au/__data/assets/pdf_file/0008/929861/GAFLA-Report-Final-Version.pdf" TargetMode="External"/><Relationship Id="rId11" Type="http://schemas.openxmlformats.org/officeDocument/2006/relationships/hyperlink" Target="https://www.parliament.vic.gov.au/images/stories/committees/lsic-LA/Inquiry_into_Anti-Vilification_Protections_/Report/Inquiry_into_Anti-vilification_Protections_002.pdf" TargetMode="External"/><Relationship Id="rId5" Type="http://schemas.openxmlformats.org/officeDocument/2006/relationships/hyperlink" Target="https://www.latrobe.edu.au/__data/assets/pdf_file/0020/180425/PrivateLives2Report.pdf" TargetMode="External"/><Relationship Id="rId10" Type="http://schemas.openxmlformats.org/officeDocument/2006/relationships/hyperlink" Target="https://www.arts.unsw.edu.au/sites/default/files/documents/Stigma%20Indicators%20Summary%20HIV%20%2B%20MSM%202019.pdf" TargetMode="External"/><Relationship Id="rId4" Type="http://schemas.openxmlformats.org/officeDocument/2006/relationships/hyperlink" Target="https://www.latrobe.edu.au/__data/assets/pdf_file/0009/1185885/Private-Lives-3.pdf" TargetMode="External"/><Relationship Id="rId9" Type="http://schemas.openxmlformats.org/officeDocument/2006/relationships/hyperlink" Target="ttps://www.latrobe.edu.au/arcshs/documents/arcshs-research-publications/WTi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QAU">
      <a:dk1>
        <a:sysClr val="windowText" lastClr="000000"/>
      </a:dk1>
      <a:lt1>
        <a:sysClr val="window" lastClr="FFFFFF"/>
      </a:lt1>
      <a:dk2>
        <a:srgbClr val="44546A"/>
      </a:dk2>
      <a:lt2>
        <a:srgbClr val="E7E6E6"/>
      </a:lt2>
      <a:accent1>
        <a:srgbClr val="00A0E6"/>
      </a:accent1>
      <a:accent2>
        <a:srgbClr val="00BE87"/>
      </a:accent2>
      <a:accent3>
        <a:srgbClr val="FFD200"/>
      </a:accent3>
      <a:accent4>
        <a:srgbClr val="FFA50A"/>
      </a:accent4>
      <a:accent5>
        <a:srgbClr val="DC1450"/>
      </a:accent5>
      <a:accent6>
        <a:srgbClr val="B41EAA"/>
      </a:accent6>
      <a:hlink>
        <a:srgbClr val="1C77A4"/>
      </a:hlink>
      <a:folHlink>
        <a:srgbClr val="7F7F7F"/>
      </a:folHlink>
    </a:clrScheme>
    <a:fontScheme name="EQAU">
      <a:majorFont>
        <a:latin typeface="PhosphateSolid"/>
        <a:ea typeface=""/>
        <a:cs typeface=""/>
      </a:majorFont>
      <a:minorFont>
        <a:latin typeface="Overpas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9D0AFC8B1509468FB8D67C14503C4F" ma:contentTypeVersion="13" ma:contentTypeDescription="Create a new document." ma:contentTypeScope="" ma:versionID="48083b89e7b4ed24118d72e037006e5e">
  <xsd:schema xmlns:xsd="http://www.w3.org/2001/XMLSchema" xmlns:xs="http://www.w3.org/2001/XMLSchema" xmlns:p="http://schemas.microsoft.com/office/2006/metadata/properties" xmlns:ns2="35532c8e-695c-43df-8a7e-82da739a1926" xmlns:ns3="1c79d794-a9ec-4354-9107-e4df09cb257d" targetNamespace="http://schemas.microsoft.com/office/2006/metadata/properties" ma:root="true" ma:fieldsID="5ddd5a9adb913d4884dfdc4551b2cf03" ns2:_="" ns3:_="">
    <xsd:import namespace="35532c8e-695c-43df-8a7e-82da739a1926"/>
    <xsd:import namespace="1c79d794-a9ec-4354-9107-e4df09cb25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532c8e-695c-43df-8a7e-82da739a1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9d794-a9ec-4354-9107-e4df09cb25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8A1AC-71C7-41B0-941E-3D88954F65AD}">
  <ds:schemaRefs>
    <ds:schemaRef ds:uri="http://schemas.openxmlformats.org/officeDocument/2006/bibliography"/>
  </ds:schemaRefs>
</ds:datastoreItem>
</file>

<file path=customXml/itemProps2.xml><?xml version="1.0" encoding="utf-8"?>
<ds:datastoreItem xmlns:ds="http://schemas.openxmlformats.org/officeDocument/2006/customXml" ds:itemID="{76CD64CE-1645-47B5-AD87-D4BA01838B0E}">
  <ds:schemaRefs>
    <ds:schemaRef ds:uri="http://purl.org/dc/terms/"/>
    <ds:schemaRef ds:uri="http://purl.org/dc/dcmitype/"/>
    <ds:schemaRef ds:uri="http://schemas.microsoft.com/office/2006/documentManagement/types"/>
    <ds:schemaRef ds:uri="35532c8e-695c-43df-8a7e-82da739a1926"/>
    <ds:schemaRef ds:uri="http://purl.org/dc/elements/1.1/"/>
    <ds:schemaRef ds:uri="http://schemas.microsoft.com/office/2006/metadata/properties"/>
    <ds:schemaRef ds:uri="1c79d794-a9ec-4354-9107-e4df09cb257d"/>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5BD7799-98A9-4CB9-ABB7-5C96BB578696}">
  <ds:schemaRefs>
    <ds:schemaRef ds:uri="http://schemas.microsoft.com/sharepoint/v3/contenttype/forms"/>
  </ds:schemaRefs>
</ds:datastoreItem>
</file>

<file path=customXml/itemProps4.xml><?xml version="1.0" encoding="utf-8"?>
<ds:datastoreItem xmlns:ds="http://schemas.openxmlformats.org/officeDocument/2006/customXml" ds:itemID="{5E52F35B-5F36-48A8-9C7D-AB35783EC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532c8e-695c-43df-8a7e-82da739a1926"/>
    <ds:schemaRef ds:uri="1c79d794-a9ec-4354-9107-e4df09cb2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9377</Words>
  <Characters>53452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Flannery</dc:creator>
  <cp:keywords/>
  <dc:description/>
  <cp:lastModifiedBy>Ghassan Kassisieh</cp:lastModifiedBy>
  <cp:revision>2</cp:revision>
  <cp:lastPrinted>2022-01-30T11:49:00Z</cp:lastPrinted>
  <dcterms:created xsi:type="dcterms:W3CDTF">2022-03-07T05:19:00Z</dcterms:created>
  <dcterms:modified xsi:type="dcterms:W3CDTF">2022-03-07T05:19:00Z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0x010100699D0AFC8B1509468FB8D67C14503C4F</vt:lpwstr>
  </property>
  <property fmtid="{D5CDD505-2E9C-101B-9397-08002B2CF9AE}" pid="3" name="Order">
    <vt:r8>11900</vt:r8>
  </property>
</Properties>
</file>