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1"/>
      </w:tblGrid>
      <w:tr w:rsidR="00BC15C8" w14:paraId="1638E670" w14:textId="77777777" w:rsidTr="00951964">
        <w:trPr>
          <w:trHeight w:val="3770"/>
        </w:trPr>
        <w:tc>
          <w:tcPr>
            <w:tcW w:w="8891" w:type="dxa"/>
            <w:vAlign w:val="bottom"/>
          </w:tcPr>
          <w:p w14:paraId="5651ABCE" w14:textId="77777777" w:rsidR="00BC15C8" w:rsidRDefault="00BC15C8" w:rsidP="00CA34DF"/>
        </w:tc>
      </w:tr>
      <w:tr w:rsidR="00BC15C8" w14:paraId="66F3192A" w14:textId="77777777" w:rsidTr="00951964">
        <w:trPr>
          <w:trHeight w:val="3107"/>
        </w:trPr>
        <w:tc>
          <w:tcPr>
            <w:tcW w:w="8891" w:type="dxa"/>
            <w:vAlign w:val="bottom"/>
          </w:tcPr>
          <w:p w14:paraId="1FED200B" w14:textId="6E60ED88" w:rsidR="00BC15C8" w:rsidRDefault="00BC75BE" w:rsidP="00627E76">
            <w:pPr>
              <w:pStyle w:val="Title"/>
            </w:pPr>
            <w:r>
              <w:t>Living with dignity and without fear</w:t>
            </w:r>
            <w:r w:rsidR="008A76E0">
              <w:t>:</w:t>
            </w:r>
          </w:p>
        </w:tc>
      </w:tr>
      <w:tr w:rsidR="00951964" w14:paraId="779428FB" w14:textId="77777777" w:rsidTr="00951964">
        <w:trPr>
          <w:trHeight w:val="3035"/>
        </w:trPr>
        <w:tc>
          <w:tcPr>
            <w:tcW w:w="8891" w:type="dxa"/>
          </w:tcPr>
          <w:p w14:paraId="4C9B2981" w14:textId="241D1087" w:rsidR="00951964" w:rsidRDefault="002B0CED" w:rsidP="00627E76">
            <w:pPr>
              <w:pStyle w:val="Subtitle"/>
            </w:pPr>
            <w:r>
              <w:t xml:space="preserve">Equality Australia’s </w:t>
            </w:r>
            <w:r w:rsidR="00EC353D">
              <w:t xml:space="preserve">submission to the </w:t>
            </w:r>
            <w:r w:rsidR="008B50BE">
              <w:t xml:space="preserve">Queensland Legal Affairs and </w:t>
            </w:r>
            <w:r w:rsidR="00F33DD0">
              <w:t>safety committee Inquiry into serious vilification and hate crimes</w:t>
            </w:r>
          </w:p>
        </w:tc>
      </w:tr>
    </w:tbl>
    <w:p w14:paraId="05FBEBD3" w14:textId="5B25840C" w:rsidR="005375D5" w:rsidRPr="00951964" w:rsidRDefault="005375D5" w:rsidP="00951964"/>
    <w:p w14:paraId="37777F4F" w14:textId="77777777" w:rsidR="008D531D" w:rsidRDefault="008D531D" w:rsidP="00CA34DF">
      <w:pPr>
        <w:sectPr w:rsidR="008D531D" w:rsidSect="00735275">
          <w:headerReference w:type="even" r:id="rId11"/>
          <w:headerReference w:type="default" r:id="rId12"/>
          <w:footerReference w:type="even" r:id="rId13"/>
          <w:footerReference w:type="default" r:id="rId14"/>
          <w:headerReference w:type="first" r:id="rId15"/>
          <w:footerReference w:type="first" r:id="rId16"/>
          <w:pgSz w:w="11907" w:h="16840" w:code="9"/>
          <w:pgMar w:top="1644" w:right="1021" w:bottom="1644" w:left="1985" w:header="709" w:footer="497" w:gutter="0"/>
          <w:cols w:space="708"/>
          <w:docGrid w:linePitch="360"/>
        </w:sectPr>
      </w:pPr>
    </w:p>
    <w:p w14:paraId="678B8B3F" w14:textId="7CA0C161" w:rsidR="00626F5B" w:rsidRDefault="00BC75BE" w:rsidP="00626F5B">
      <w:pPr>
        <w:pStyle w:val="Section"/>
      </w:pPr>
      <w:r>
        <w:lastRenderedPageBreak/>
        <w:t>Living with dignity and without fear</w:t>
      </w:r>
    </w:p>
    <w:p w14:paraId="0C704FC1" w14:textId="2CA81207" w:rsidR="00E61F4A" w:rsidRDefault="00E61F4A" w:rsidP="00654EDD">
      <w:r>
        <w:t xml:space="preserve">Equality Australia welcomes the opportunity to make a submission to the </w:t>
      </w:r>
      <w:r w:rsidR="00F33DD0">
        <w:t>Queensland</w:t>
      </w:r>
      <w:r>
        <w:t xml:space="preserve"> Parliament’s Inquiry into </w:t>
      </w:r>
      <w:r w:rsidR="009176D4">
        <w:t>Serious Vilification and Hate Crimes</w:t>
      </w:r>
      <w:r>
        <w:t xml:space="preserve">.  </w:t>
      </w:r>
    </w:p>
    <w:p w14:paraId="17CA4719" w14:textId="7DC48234" w:rsidR="00927663" w:rsidRDefault="00927663" w:rsidP="00927663">
      <w:r>
        <w:t>Equality Australia is a national LGBTIQ+ organisation dedicated to achieving equality for LGBTIQ+ people.</w:t>
      </w:r>
      <w:r w:rsidR="007757A2">
        <w:t xml:space="preserve">  </w:t>
      </w:r>
      <w:r>
        <w:t>Borne out of the successful campaign for marriage equality, and established with support from the Human Rights Law Centre, Equality Australia brings together legal, policy and communications expertise, along with thousands of supporters, to redress discrimination, disadvantage and distress experienced by LGBTIQ+ people.</w:t>
      </w:r>
    </w:p>
    <w:p w14:paraId="2F1772C2" w14:textId="550C786F" w:rsidR="00065945" w:rsidRDefault="00065945" w:rsidP="00065945">
      <w:pPr>
        <w:pStyle w:val="Heading3"/>
      </w:pPr>
      <w:r>
        <w:t>Our guiding principle</w:t>
      </w:r>
    </w:p>
    <w:p w14:paraId="39E9BC56" w14:textId="425B8DA8" w:rsidR="00654EDD" w:rsidRDefault="00654EDD" w:rsidP="00654EDD">
      <w:pPr>
        <w:pStyle w:val="Intro"/>
      </w:pPr>
      <w:r>
        <w:t xml:space="preserve">We start </w:t>
      </w:r>
      <w:r w:rsidR="00065945">
        <w:t>with the guiding principle</w:t>
      </w:r>
      <w:r>
        <w:t xml:space="preserve"> that every</w:t>
      </w:r>
      <w:r w:rsidR="009258B7">
        <w:t xml:space="preserve"> LGBTIQ+</w:t>
      </w:r>
      <w:r>
        <w:t xml:space="preserve"> </w:t>
      </w:r>
      <w:r w:rsidR="005B615F">
        <w:t>Queenslander</w:t>
      </w:r>
      <w:r>
        <w:t xml:space="preserve"> should </w:t>
      </w:r>
      <w:r w:rsidR="00C55F3E">
        <w:t xml:space="preserve">be </w:t>
      </w:r>
      <w:r w:rsidR="00672487">
        <w:t>able</w:t>
      </w:r>
      <w:r w:rsidR="00C55F3E">
        <w:t xml:space="preserve"> to walk down </w:t>
      </w:r>
      <w:r w:rsidR="00111645">
        <w:t>any</w:t>
      </w:r>
      <w:r w:rsidR="00C55F3E">
        <w:t xml:space="preserve"> street</w:t>
      </w:r>
      <w:r w:rsidR="00672487">
        <w:t xml:space="preserve"> and participate fully in all aspects of public</w:t>
      </w:r>
      <w:r w:rsidR="00816DC7">
        <w:t xml:space="preserve"> life</w:t>
      </w:r>
      <w:r w:rsidR="00C55F3E">
        <w:t xml:space="preserve"> </w:t>
      </w:r>
      <w:r w:rsidR="005C26EE">
        <w:t xml:space="preserve">with </w:t>
      </w:r>
      <w:r w:rsidR="005B615F">
        <w:t>dignity and without fear</w:t>
      </w:r>
      <w:r w:rsidR="00816DC7">
        <w:t xml:space="preserve">.  That </w:t>
      </w:r>
      <w:r w:rsidR="005B615F">
        <w:t xml:space="preserve">means being able to </w:t>
      </w:r>
      <w:r w:rsidR="004E5E07">
        <w:t xml:space="preserve">work, study and live </w:t>
      </w:r>
      <w:r>
        <w:t>without facing or fearing</w:t>
      </w:r>
      <w:r w:rsidR="00B418D9">
        <w:t xml:space="preserve"> any</w:t>
      </w:r>
      <w:r>
        <w:t xml:space="preserve"> vilification or hate-based conduct on the grounds of </w:t>
      </w:r>
      <w:r w:rsidR="00065945">
        <w:t xml:space="preserve">their </w:t>
      </w:r>
      <w:r>
        <w:t>sexual orientation, gender identity and expression, or sex characteristics.</w:t>
      </w:r>
    </w:p>
    <w:p w14:paraId="401A0274" w14:textId="321ED292" w:rsidR="00190443" w:rsidRDefault="00190443" w:rsidP="00065945">
      <w:pPr>
        <w:pStyle w:val="Heading3"/>
      </w:pPr>
      <w:r>
        <w:t xml:space="preserve">The incidence </w:t>
      </w:r>
      <w:r w:rsidR="00DE7590">
        <w:t xml:space="preserve">of </w:t>
      </w:r>
      <w:r w:rsidR="00F33836">
        <w:t xml:space="preserve">prejudice </w:t>
      </w:r>
      <w:r w:rsidR="00840FED">
        <w:t xml:space="preserve">motivated attacks </w:t>
      </w:r>
      <w:r w:rsidR="009042E8">
        <w:t xml:space="preserve">against </w:t>
      </w:r>
      <w:r w:rsidR="00DE7590">
        <w:t>LGBTIQ+ people</w:t>
      </w:r>
    </w:p>
    <w:p w14:paraId="4DB74571" w14:textId="4D5632E8" w:rsidR="001C5BB9" w:rsidRDefault="00251138" w:rsidP="006A0ECA">
      <w:r>
        <w:t xml:space="preserve">Regrettably, harassment, </w:t>
      </w:r>
      <w:proofErr w:type="gramStart"/>
      <w:r>
        <w:t>discrimination</w:t>
      </w:r>
      <w:proofErr w:type="gramEnd"/>
      <w:r>
        <w:t xml:space="preserve"> </w:t>
      </w:r>
      <w:r w:rsidR="00F265E0">
        <w:t>and violence</w:t>
      </w:r>
      <w:r w:rsidR="00552DAA">
        <w:t xml:space="preserve"> on the basis of sexual orientation, gender identity and expression, and sex characteristics </w:t>
      </w:r>
      <w:r w:rsidR="00F265E0">
        <w:t>remain</w:t>
      </w:r>
      <w:r w:rsidR="003C68D6">
        <w:t>s</w:t>
      </w:r>
      <w:r w:rsidR="00F265E0">
        <w:t xml:space="preserve"> a lived experience for members of our communit</w:t>
      </w:r>
      <w:r w:rsidR="00552DAA">
        <w:t>ies</w:t>
      </w:r>
      <w:r w:rsidR="00F265E0">
        <w:t>.</w:t>
      </w:r>
      <w:r w:rsidR="00C670AD">
        <w:rPr>
          <w:rStyle w:val="FootnoteReference"/>
        </w:rPr>
        <w:footnoteReference w:id="1"/>
      </w:r>
      <w:r w:rsidR="00552DAA">
        <w:t xml:space="preserve"> </w:t>
      </w:r>
      <w:r w:rsidR="006E4F9D">
        <w:t xml:space="preserve"> </w:t>
      </w:r>
      <w:r w:rsidR="00552DAA">
        <w:t xml:space="preserve">Sometimes that </w:t>
      </w:r>
      <w:r w:rsidR="008C64BA">
        <w:t xml:space="preserve">adverse </w:t>
      </w:r>
      <w:r w:rsidR="00A71D2A">
        <w:t xml:space="preserve">treatment is experienced </w:t>
      </w:r>
      <w:r w:rsidR="008615B7">
        <w:t>in</w:t>
      </w:r>
      <w:r w:rsidR="00F647A0">
        <w:t xml:space="preserve"> </w:t>
      </w:r>
      <w:r w:rsidR="00A71D2A">
        <w:t xml:space="preserve">laws, but more often than not it </w:t>
      </w:r>
      <w:r w:rsidR="007637F4">
        <w:t>finds ugly expression in</w:t>
      </w:r>
      <w:r w:rsidR="00065945">
        <w:t xml:space="preserve"> </w:t>
      </w:r>
      <w:r w:rsidR="002C6022">
        <w:t>attack</w:t>
      </w:r>
      <w:r w:rsidR="00830801">
        <w:t xml:space="preserve">s </w:t>
      </w:r>
      <w:r w:rsidR="001C5BB9">
        <w:t xml:space="preserve">borne </w:t>
      </w:r>
      <w:r w:rsidR="006E4F9D">
        <w:t xml:space="preserve">out </w:t>
      </w:r>
      <w:r w:rsidR="001C5BB9">
        <w:t xml:space="preserve">of </w:t>
      </w:r>
      <w:r w:rsidR="00A21DF3">
        <w:t xml:space="preserve">prejudice, fear or ignorance </w:t>
      </w:r>
      <w:r w:rsidR="00830801">
        <w:t>which take place in</w:t>
      </w:r>
      <w:r w:rsidR="00065945">
        <w:t xml:space="preserve"> our</w:t>
      </w:r>
      <w:r w:rsidR="00830801">
        <w:t xml:space="preserve"> </w:t>
      </w:r>
      <w:r w:rsidR="00C22495">
        <w:t>physical and online neighbourhoods</w:t>
      </w:r>
      <w:r w:rsidR="00AB4E56">
        <w:t>.</w:t>
      </w:r>
      <w:r w:rsidR="008C64BA">
        <w:t xml:space="preserve"> </w:t>
      </w:r>
      <w:r w:rsidR="00E772AB">
        <w:t xml:space="preserve"> </w:t>
      </w:r>
    </w:p>
    <w:p w14:paraId="3ABF4184" w14:textId="5A606D10" w:rsidR="002D3137" w:rsidRDefault="0017377A" w:rsidP="006A0ECA">
      <w:r>
        <w:t>This harassment, discrimination and violence does real harm</w:t>
      </w:r>
      <w:r w:rsidR="007217BC">
        <w:t xml:space="preserve"> when it </w:t>
      </w:r>
      <w:r w:rsidR="004F4D1B">
        <w:t>occur</w:t>
      </w:r>
      <w:r w:rsidR="001C5BB9">
        <w:t>s</w:t>
      </w:r>
      <w:r w:rsidR="006A0E07">
        <w:t>,</w:t>
      </w:r>
      <w:r w:rsidR="007217BC">
        <w:t xml:space="preserve"> but also </w:t>
      </w:r>
      <w:r w:rsidR="000E3298">
        <w:t>while</w:t>
      </w:r>
      <w:r w:rsidR="00087F0B">
        <w:t xml:space="preserve"> the threat of it remains.  </w:t>
      </w:r>
      <w:r w:rsidR="00F4367D">
        <w:t>Our communities continue to c</w:t>
      </w:r>
      <w:r w:rsidR="006A0E07">
        <w:t xml:space="preserve">urb </w:t>
      </w:r>
      <w:r w:rsidR="00C218AD">
        <w:t xml:space="preserve">the </w:t>
      </w:r>
      <w:r w:rsidR="006A0E07">
        <w:t>expression</w:t>
      </w:r>
      <w:r>
        <w:t xml:space="preserve"> </w:t>
      </w:r>
      <w:r w:rsidR="000B7627">
        <w:t xml:space="preserve">of </w:t>
      </w:r>
      <w:r w:rsidR="00F4367D">
        <w:t>their</w:t>
      </w:r>
      <w:r w:rsidR="00743734">
        <w:t xml:space="preserve"> identities,</w:t>
      </w:r>
      <w:r w:rsidR="00F4367D">
        <w:t xml:space="preserve"> their</w:t>
      </w:r>
      <w:r w:rsidR="00743734">
        <w:t xml:space="preserve"> lives, and </w:t>
      </w:r>
      <w:r w:rsidR="00F4367D">
        <w:t>their</w:t>
      </w:r>
      <w:r w:rsidR="00743734">
        <w:t xml:space="preserve"> love </w:t>
      </w:r>
      <w:proofErr w:type="gramStart"/>
      <w:r w:rsidR="00743734">
        <w:t>in an effort to</w:t>
      </w:r>
      <w:proofErr w:type="gramEnd"/>
      <w:r w:rsidR="00743734">
        <w:t xml:space="preserve"> avoid </w:t>
      </w:r>
      <w:r w:rsidR="005F7FA1">
        <w:t>harassment, discrimination and violence</w:t>
      </w:r>
      <w:r w:rsidR="008B201F">
        <w:t xml:space="preserve"> in public</w:t>
      </w:r>
      <w:r w:rsidR="005F7FA1">
        <w:t>.</w:t>
      </w:r>
      <w:r w:rsidR="00B418D9">
        <w:rPr>
          <w:rStyle w:val="FootnoteReference"/>
        </w:rPr>
        <w:footnoteReference w:id="2"/>
      </w:r>
      <w:r w:rsidR="006B2FB1">
        <w:t xml:space="preserve">  </w:t>
      </w:r>
    </w:p>
    <w:p w14:paraId="0E48742C" w14:textId="55F6247B" w:rsidR="0017377A" w:rsidRDefault="006B2FB1" w:rsidP="006A0ECA">
      <w:r>
        <w:t xml:space="preserve">Tellingly, in a 2020 national </w:t>
      </w:r>
      <w:r w:rsidR="00DC4301">
        <w:t xml:space="preserve">survey </w:t>
      </w:r>
      <w:r w:rsidR="00A9422C">
        <w:t xml:space="preserve">of </w:t>
      </w:r>
      <w:r w:rsidR="006A4F85">
        <w:t>6,835</w:t>
      </w:r>
      <w:r w:rsidR="00DC4301">
        <w:t xml:space="preserve"> LGBTIQ Australians</w:t>
      </w:r>
      <w:r w:rsidR="00A9422C">
        <w:t xml:space="preserve"> (being the largest survey of its kind)</w:t>
      </w:r>
      <w:r w:rsidR="00DC4301">
        <w:t xml:space="preserve">, </w:t>
      </w:r>
      <w:r w:rsidR="002D3137">
        <w:t xml:space="preserve">many participants indicated that they did not </w:t>
      </w:r>
      <w:r w:rsidR="00F61032">
        <w:t xml:space="preserve">feel accepted in </w:t>
      </w:r>
      <w:proofErr w:type="gramStart"/>
      <w:r w:rsidR="00F61032">
        <w:t>a number of</w:t>
      </w:r>
      <w:proofErr w:type="gramEnd"/>
      <w:r w:rsidR="00F61032">
        <w:t xml:space="preserve"> public venues, including at work, school or in public places.</w:t>
      </w:r>
      <w:r>
        <w:t xml:space="preserve"> </w:t>
      </w:r>
      <w:r w:rsidR="003709F8">
        <w:t xml:space="preserve"> While 68.5% of </w:t>
      </w:r>
      <w:r w:rsidR="008A12E9">
        <w:t xml:space="preserve">LGBTIQ </w:t>
      </w:r>
      <w:r w:rsidR="003709F8">
        <w:t>participants indicated feeling accepted ‘a lot’ or ‘a</w:t>
      </w:r>
      <w:r w:rsidR="008A12E9">
        <w:t xml:space="preserve">lways’ at LGBTIQ events and venues, only </w:t>
      </w:r>
      <w:r w:rsidR="00135F8D">
        <w:t xml:space="preserve">52.2% indicated feeling the same with family members, </w:t>
      </w:r>
      <w:r w:rsidR="008F764D">
        <w:t xml:space="preserve">only </w:t>
      </w:r>
      <w:r w:rsidR="00135F8D">
        <w:t xml:space="preserve">43.4% indicated feeling the same when accessing health or support services, </w:t>
      </w:r>
      <w:r w:rsidR="008F764D">
        <w:t xml:space="preserve">only </w:t>
      </w:r>
      <w:r w:rsidR="005C5D80">
        <w:t xml:space="preserve">30.5% indicated feeling the same in public (such as </w:t>
      </w:r>
      <w:r w:rsidR="00121FD1">
        <w:t>on</w:t>
      </w:r>
      <w:r w:rsidR="005C5D80">
        <w:t xml:space="preserve"> the street or in a park)</w:t>
      </w:r>
      <w:r w:rsidR="006E619D">
        <w:t xml:space="preserve"> and</w:t>
      </w:r>
      <w:r w:rsidR="005C5D80">
        <w:t xml:space="preserve"> </w:t>
      </w:r>
      <w:r w:rsidR="008F764D">
        <w:t xml:space="preserve">only </w:t>
      </w:r>
      <w:r w:rsidR="004517E8">
        <w:t xml:space="preserve">28.7% </w:t>
      </w:r>
      <w:r w:rsidR="00A27B54">
        <w:t>indicated feeling the same at mainstream events or venues</w:t>
      </w:r>
      <w:r w:rsidR="006E619D">
        <w:t>.  Non-LGBTIQ dating apps and websites</w:t>
      </w:r>
      <w:r w:rsidR="00EE7CD2">
        <w:t>,</w:t>
      </w:r>
      <w:r w:rsidR="006E619D">
        <w:t xml:space="preserve"> and faith-based events or services</w:t>
      </w:r>
      <w:r w:rsidR="00EE7CD2">
        <w:t>,</w:t>
      </w:r>
      <w:r w:rsidR="006E619D">
        <w:t xml:space="preserve"> were the places that the fewest participants felt accepted</w:t>
      </w:r>
      <w:r w:rsidR="00463717">
        <w:t xml:space="preserve"> (21.7% and 10.5% respectively)</w:t>
      </w:r>
      <w:r w:rsidR="006E619D">
        <w:t>.</w:t>
      </w:r>
      <w:r w:rsidR="00A9422C">
        <w:rPr>
          <w:rStyle w:val="FootnoteReference"/>
        </w:rPr>
        <w:footnoteReference w:id="3"/>
      </w:r>
      <w:r w:rsidR="000A31D9">
        <w:t xml:space="preserve">  </w:t>
      </w:r>
    </w:p>
    <w:p w14:paraId="13305CB6" w14:textId="6FC39921" w:rsidR="00B368F8" w:rsidRDefault="00B368F8" w:rsidP="00B368F8">
      <w:r>
        <w:t xml:space="preserve">We include with this submission the Human Rights Law Centre’s 2018 report, </w:t>
      </w:r>
      <w:r>
        <w:rPr>
          <w:i/>
          <w:iCs/>
        </w:rPr>
        <w:t xml:space="preserve">End the Hate: Responding to prejudice motivated speech and violence against the LGBTI community, </w:t>
      </w:r>
      <w:r>
        <w:t xml:space="preserve">which documents research on the incidence and impact of hate conduct against LGBTIQ+ people, and </w:t>
      </w:r>
      <w:proofErr w:type="gramStart"/>
      <w:r>
        <w:t>a number of</w:t>
      </w:r>
      <w:proofErr w:type="gramEnd"/>
      <w:r>
        <w:t xml:space="preserve"> recent examples of hate-based conduct experienced by LGBTIQ+ people, particularly in the wake of the 2017 marriage postal survey.</w:t>
      </w:r>
    </w:p>
    <w:p w14:paraId="1018ECFC" w14:textId="025864E7" w:rsidR="00776BE0" w:rsidRDefault="00237FE8" w:rsidP="005655FD">
      <w:pPr>
        <w:keepNext/>
      </w:pPr>
      <w:r>
        <w:t xml:space="preserve">Recent research </w:t>
      </w:r>
      <w:r w:rsidR="00840FED">
        <w:t xml:space="preserve">also documents alarming rates of violence and harassment </w:t>
      </w:r>
      <w:r w:rsidR="002C1BD0">
        <w:t xml:space="preserve">persisting </w:t>
      </w:r>
      <w:r w:rsidR="00840FED">
        <w:t>against our communities</w:t>
      </w:r>
      <w:r w:rsidR="004D51EE">
        <w:t>.</w:t>
      </w:r>
      <w:r w:rsidR="005655FD">
        <w:t xml:space="preserve">  For example, the</w:t>
      </w:r>
      <w:r w:rsidR="00776BE0">
        <w:t xml:space="preserve"> 2020</w:t>
      </w:r>
      <w:r w:rsidR="004F0B17">
        <w:t xml:space="preserve"> national</w:t>
      </w:r>
      <w:r w:rsidR="002C272C">
        <w:t xml:space="preserve"> </w:t>
      </w:r>
      <w:r w:rsidR="002C272C">
        <w:rPr>
          <w:i/>
          <w:iCs/>
        </w:rPr>
        <w:t>Private Lives 3</w:t>
      </w:r>
      <w:r w:rsidR="004F0B17">
        <w:t xml:space="preserve"> survey of 6,835 LGBTIQ Australians reported the following </w:t>
      </w:r>
      <w:r w:rsidR="004F0B17">
        <w:lastRenderedPageBreak/>
        <w:t>experiences of violence and harassment due to sexual orientation or gender identity in the last year before the survey:</w:t>
      </w:r>
    </w:p>
    <w:p w14:paraId="61E9019A" w14:textId="4C97F124" w:rsidR="00BB3405" w:rsidRDefault="00BB3405" w:rsidP="005655FD">
      <w:pPr>
        <w:pStyle w:val="Bullet"/>
      </w:pPr>
      <w:r>
        <w:t>34.6% – verbal abuse (including hateful or obscene phone calls</w:t>
      </w:r>
      <w:proofErr w:type="gramStart"/>
      <w:r>
        <w:t>);</w:t>
      </w:r>
      <w:proofErr w:type="gramEnd"/>
      <w:r>
        <w:t xml:space="preserve"> </w:t>
      </w:r>
    </w:p>
    <w:p w14:paraId="42EF5161" w14:textId="4EAC40DE" w:rsidR="00BB3405" w:rsidRDefault="002B28EC" w:rsidP="005655FD">
      <w:pPr>
        <w:pStyle w:val="Bullet"/>
      </w:pPr>
      <w:r>
        <w:t>23</w:t>
      </w:r>
      <w:r w:rsidR="00BB3405">
        <w:t>.</w:t>
      </w:r>
      <w:r>
        <w:t>6</w:t>
      </w:r>
      <w:r w:rsidR="00BB3405">
        <w:t xml:space="preserve">% – harassment such as being spat at and offensive </w:t>
      </w:r>
      <w:proofErr w:type="gramStart"/>
      <w:r w:rsidR="00BB3405">
        <w:t>gestures;</w:t>
      </w:r>
      <w:proofErr w:type="gramEnd"/>
      <w:r w:rsidR="00BB3405">
        <w:t xml:space="preserve"> </w:t>
      </w:r>
    </w:p>
    <w:p w14:paraId="54FF77F4" w14:textId="3BA3A364" w:rsidR="003111E5" w:rsidRDefault="003111E5" w:rsidP="005655FD">
      <w:pPr>
        <w:pStyle w:val="Bullet"/>
      </w:pPr>
      <w:r>
        <w:t xml:space="preserve">22.1% </w:t>
      </w:r>
      <w:r w:rsidR="00C801DD">
        <w:t>–</w:t>
      </w:r>
      <w:r>
        <w:t xml:space="preserve"> written</w:t>
      </w:r>
      <w:r w:rsidR="00C801DD">
        <w:t xml:space="preserve"> </w:t>
      </w:r>
      <w:r>
        <w:t xml:space="preserve">threats of abuse via emails, social </w:t>
      </w:r>
      <w:proofErr w:type="gramStart"/>
      <w:r>
        <w:t>media;</w:t>
      </w:r>
      <w:proofErr w:type="gramEnd"/>
    </w:p>
    <w:p w14:paraId="7211C74F" w14:textId="242FB355" w:rsidR="00BB3405" w:rsidRDefault="003111E5" w:rsidP="005655FD">
      <w:pPr>
        <w:pStyle w:val="Bullet"/>
      </w:pPr>
      <w:r>
        <w:t>14</w:t>
      </w:r>
      <w:r w:rsidR="00BB3405">
        <w:t>.</w:t>
      </w:r>
      <w:r>
        <w:t>6</w:t>
      </w:r>
      <w:r w:rsidR="00BB3405">
        <w:t xml:space="preserve">% – threats of physical violence, physical attack or assault without a </w:t>
      </w:r>
      <w:proofErr w:type="gramStart"/>
      <w:r w:rsidR="00BB3405">
        <w:t>weapon;</w:t>
      </w:r>
      <w:proofErr w:type="gramEnd"/>
    </w:p>
    <w:p w14:paraId="2F181012" w14:textId="27783F59" w:rsidR="00BB3405" w:rsidRDefault="00CA3165" w:rsidP="005655FD">
      <w:pPr>
        <w:pStyle w:val="Bullet"/>
      </w:pPr>
      <w:r>
        <w:t>11.4</w:t>
      </w:r>
      <w:r w:rsidR="00BB3405">
        <w:t>% – receiving written threats of abuse</w:t>
      </w:r>
      <w:r>
        <w:t xml:space="preserve"> in other </w:t>
      </w:r>
      <w:proofErr w:type="gramStart"/>
      <w:r>
        <w:t>ways</w:t>
      </w:r>
      <w:r w:rsidR="00BB3405">
        <w:t>;</w:t>
      </w:r>
      <w:proofErr w:type="gramEnd"/>
    </w:p>
    <w:p w14:paraId="492D4B72" w14:textId="2856066C" w:rsidR="00BB3405" w:rsidRDefault="00F14A8A" w:rsidP="005655FD">
      <w:pPr>
        <w:pStyle w:val="Bullet"/>
      </w:pPr>
      <w:r>
        <w:t>4</w:t>
      </w:r>
      <w:r w:rsidR="00BB3405">
        <w:t>.</w:t>
      </w:r>
      <w:r>
        <w:t>8</w:t>
      </w:r>
      <w:r w:rsidR="00BB3405">
        <w:t xml:space="preserve">% and </w:t>
      </w:r>
      <w:r w:rsidR="007D5F33">
        <w:t>3</w:t>
      </w:r>
      <w:r w:rsidR="00BB3405">
        <w:t>.</w:t>
      </w:r>
      <w:r w:rsidR="007D5F33">
        <w:t>7</w:t>
      </w:r>
      <w:r w:rsidR="00BB3405">
        <w:t xml:space="preserve">% respectively – deliberate damage to property or vandalism of a </w:t>
      </w:r>
      <w:r w:rsidR="001329D6">
        <w:t>house</w:t>
      </w:r>
      <w:r w:rsidR="00BB3405">
        <w:t xml:space="preserve"> and/or </w:t>
      </w:r>
      <w:r w:rsidR="001329D6">
        <w:t>car</w:t>
      </w:r>
      <w:r w:rsidR="00BB3405">
        <w:t>; and</w:t>
      </w:r>
    </w:p>
    <w:p w14:paraId="73A03F71" w14:textId="79E79158" w:rsidR="00F14A8A" w:rsidRDefault="00DA0A4C" w:rsidP="005655FD">
      <w:pPr>
        <w:pStyle w:val="Bullet"/>
      </w:pPr>
      <w:r>
        <w:t>3</w:t>
      </w:r>
      <w:r w:rsidR="00BB3405">
        <w:t>.</w:t>
      </w:r>
      <w:r>
        <w:t>9</w:t>
      </w:r>
      <w:r w:rsidR="00BB3405">
        <w:t>% – physical attack or assault with a weapon (knife, bottle, stones).</w:t>
      </w:r>
    </w:p>
    <w:p w14:paraId="779570D5" w14:textId="50F59CE0" w:rsidR="00B51690" w:rsidRDefault="00275CFE" w:rsidP="00C03497">
      <w:r>
        <w:t xml:space="preserve">When compared with the 2012 national </w:t>
      </w:r>
      <w:r>
        <w:rPr>
          <w:i/>
          <w:iCs/>
        </w:rPr>
        <w:t>Private Lives 2</w:t>
      </w:r>
      <w:r>
        <w:t xml:space="preserve"> survey of 5,476 LGBT Australians,</w:t>
      </w:r>
      <w:r w:rsidR="00CB74C7">
        <w:t xml:space="preserve"> </w:t>
      </w:r>
      <w:r w:rsidR="00C03497">
        <w:t>the</w:t>
      </w:r>
      <w:r w:rsidR="006527C4">
        <w:t xml:space="preserve"> 2020</w:t>
      </w:r>
      <w:r w:rsidR="00C03497">
        <w:t xml:space="preserve"> results suggest that </w:t>
      </w:r>
      <w:r w:rsidR="006527C4">
        <w:t xml:space="preserve">the </w:t>
      </w:r>
      <w:r w:rsidR="00C03497">
        <w:t>incidenc</w:t>
      </w:r>
      <w:r w:rsidR="00076674">
        <w:t>e</w:t>
      </w:r>
      <w:r w:rsidR="00C03497">
        <w:t xml:space="preserve"> of violence and harassment ha</w:t>
      </w:r>
      <w:r w:rsidR="00076674">
        <w:t>s</w:t>
      </w:r>
      <w:r w:rsidR="006527C4">
        <w:t xml:space="preserve"> in fact</w:t>
      </w:r>
      <w:r w:rsidR="00076674">
        <w:t xml:space="preserve"> </w:t>
      </w:r>
      <w:r w:rsidR="00C03497">
        <w:t>increased</w:t>
      </w:r>
      <w:r w:rsidR="006527C4">
        <w:t xml:space="preserve"> over time</w:t>
      </w:r>
      <w:r w:rsidR="00C03497">
        <w:t xml:space="preserve">.  The </w:t>
      </w:r>
      <w:r w:rsidR="00C92011">
        <w:t xml:space="preserve">2012 </w:t>
      </w:r>
      <w:r w:rsidR="00B51690">
        <w:t xml:space="preserve">national survey </w:t>
      </w:r>
      <w:r w:rsidR="00840FED">
        <w:t xml:space="preserve">reported the following </w:t>
      </w:r>
      <w:r w:rsidR="00B51690">
        <w:t>experiences of heterosexist violence and harassment in the last year before the survey:</w:t>
      </w:r>
    </w:p>
    <w:p w14:paraId="77BD1FB9" w14:textId="745FEAF8" w:rsidR="00B51690" w:rsidRDefault="00B51690" w:rsidP="00C03497">
      <w:pPr>
        <w:pStyle w:val="Bullet"/>
      </w:pPr>
      <w:r>
        <w:t xml:space="preserve">25.5% </w:t>
      </w:r>
      <w:r w:rsidR="00840FED">
        <w:t xml:space="preserve">– </w:t>
      </w:r>
      <w:r>
        <w:t>verbal</w:t>
      </w:r>
      <w:r w:rsidR="00840FED">
        <w:t xml:space="preserve"> </w:t>
      </w:r>
      <w:r>
        <w:t>abuse (including hateful or obscene phone calls</w:t>
      </w:r>
      <w:proofErr w:type="gramStart"/>
      <w:r>
        <w:t>);</w:t>
      </w:r>
      <w:proofErr w:type="gramEnd"/>
      <w:r>
        <w:t xml:space="preserve"> </w:t>
      </w:r>
    </w:p>
    <w:p w14:paraId="49B54EC5" w14:textId="793F5952" w:rsidR="00B51690" w:rsidRDefault="00B51690" w:rsidP="00C03497">
      <w:pPr>
        <w:pStyle w:val="Bullet"/>
      </w:pPr>
      <w:r>
        <w:t xml:space="preserve">15.5% </w:t>
      </w:r>
      <w:r w:rsidR="00840FED">
        <w:t xml:space="preserve">– </w:t>
      </w:r>
      <w:r>
        <w:t>harassment</w:t>
      </w:r>
      <w:r w:rsidR="00840FED">
        <w:t xml:space="preserve"> </w:t>
      </w:r>
      <w:r>
        <w:t xml:space="preserve">such as being spat at and offensive </w:t>
      </w:r>
      <w:proofErr w:type="gramStart"/>
      <w:r>
        <w:t>gestures;</w:t>
      </w:r>
      <w:proofErr w:type="gramEnd"/>
      <w:r>
        <w:t xml:space="preserve"> </w:t>
      </w:r>
    </w:p>
    <w:p w14:paraId="2F268CFB" w14:textId="7BA01EDE" w:rsidR="00B51690" w:rsidRDefault="00B51690" w:rsidP="00C03497">
      <w:pPr>
        <w:pStyle w:val="Bullet"/>
      </w:pPr>
      <w:r>
        <w:t xml:space="preserve">8.7% </w:t>
      </w:r>
      <w:r w:rsidR="00840FED">
        <w:t xml:space="preserve">– </w:t>
      </w:r>
      <w:r>
        <w:t>threats</w:t>
      </w:r>
      <w:r w:rsidR="00840FED">
        <w:t xml:space="preserve"> </w:t>
      </w:r>
      <w:r>
        <w:t>of physical violence, physical attack or assault without a weapon (punched, kicked, beaten</w:t>
      </w:r>
      <w:proofErr w:type="gramStart"/>
      <w:r>
        <w:t>);</w:t>
      </w:r>
      <w:proofErr w:type="gramEnd"/>
    </w:p>
    <w:p w14:paraId="673A0F88" w14:textId="4C700092" w:rsidR="00B51690" w:rsidRDefault="00B51690" w:rsidP="00C03497">
      <w:pPr>
        <w:pStyle w:val="Bullet"/>
      </w:pPr>
      <w:r>
        <w:t xml:space="preserve">6.6% </w:t>
      </w:r>
      <w:r w:rsidR="00840FED">
        <w:t xml:space="preserve">– </w:t>
      </w:r>
      <w:r>
        <w:t>receiving written</w:t>
      </w:r>
      <w:r w:rsidR="00840FED">
        <w:t xml:space="preserve"> </w:t>
      </w:r>
      <w:r>
        <w:t xml:space="preserve">threats of abuse including emails and </w:t>
      </w:r>
      <w:proofErr w:type="gramStart"/>
      <w:r>
        <w:t>graffiti;</w:t>
      </w:r>
      <w:proofErr w:type="gramEnd"/>
    </w:p>
    <w:p w14:paraId="745C91FD" w14:textId="040D559E" w:rsidR="00B51690" w:rsidRDefault="00B51690" w:rsidP="00C03497">
      <w:pPr>
        <w:pStyle w:val="Bullet"/>
      </w:pPr>
      <w:r>
        <w:t xml:space="preserve">3.3% and 2.4% respectively </w:t>
      </w:r>
      <w:r w:rsidR="00840FED">
        <w:t>–</w:t>
      </w:r>
      <w:r>
        <w:t xml:space="preserve"> deliberate</w:t>
      </w:r>
      <w:r w:rsidR="00840FED">
        <w:t xml:space="preserve"> </w:t>
      </w:r>
      <w:r>
        <w:t>damage to property or vandalism of a car and/or house; and</w:t>
      </w:r>
    </w:p>
    <w:p w14:paraId="00018559" w14:textId="1DA6ED67" w:rsidR="00B51690" w:rsidRDefault="00B51690" w:rsidP="00C03497">
      <w:pPr>
        <w:pStyle w:val="Bullet"/>
      </w:pPr>
      <w:r>
        <w:t xml:space="preserve">1.8% </w:t>
      </w:r>
      <w:r w:rsidR="00840FED">
        <w:t xml:space="preserve">– </w:t>
      </w:r>
      <w:r>
        <w:t>physical</w:t>
      </w:r>
      <w:r w:rsidR="00840FED">
        <w:t xml:space="preserve"> </w:t>
      </w:r>
      <w:r>
        <w:t>attack or assault with a weapon (knife, bottle, stones).</w:t>
      </w:r>
      <w:r>
        <w:rPr>
          <w:rStyle w:val="FootnoteReference"/>
        </w:rPr>
        <w:footnoteReference w:id="4"/>
      </w:r>
    </w:p>
    <w:p w14:paraId="4DDD258E" w14:textId="40E49CA0" w:rsidR="00C03497" w:rsidRDefault="009162A6" w:rsidP="001B0B5D">
      <w:r>
        <w:t xml:space="preserve">This data suggests </w:t>
      </w:r>
      <w:r w:rsidR="00076674">
        <w:t xml:space="preserve">both </w:t>
      </w:r>
      <w:r>
        <w:t>an</w:t>
      </w:r>
      <w:r w:rsidR="00720C7F">
        <w:t xml:space="preserve"> increase in the proportion of </w:t>
      </w:r>
      <w:r w:rsidR="00C2680C">
        <w:t xml:space="preserve">LGBTIQ </w:t>
      </w:r>
      <w:r w:rsidR="00720C7F">
        <w:t xml:space="preserve">people reporting </w:t>
      </w:r>
      <w:r>
        <w:t xml:space="preserve">recent experiences of </w:t>
      </w:r>
      <w:r w:rsidR="00C2680C">
        <w:t xml:space="preserve">violence and harassment based on their sexual orientation </w:t>
      </w:r>
      <w:r>
        <w:t>(</w:t>
      </w:r>
      <w:r w:rsidR="00C2680C">
        <w:t>and in 2020 also based on their gender identity</w:t>
      </w:r>
      <w:r>
        <w:t xml:space="preserve">), </w:t>
      </w:r>
      <w:proofErr w:type="gramStart"/>
      <w:r w:rsidR="00076674">
        <w:t>and also</w:t>
      </w:r>
      <w:proofErr w:type="gramEnd"/>
      <w:r w:rsidR="00076674">
        <w:t xml:space="preserve"> a significant number of LGBTIQ people</w:t>
      </w:r>
      <w:r w:rsidR="002C0FC8">
        <w:t xml:space="preserve"> (almost 1 in 5)</w:t>
      </w:r>
      <w:r w:rsidR="00076674">
        <w:t xml:space="preserve"> who are </w:t>
      </w:r>
      <w:r w:rsidR="00B431B5">
        <w:t xml:space="preserve">now </w:t>
      </w:r>
      <w:r w:rsidR="00076674">
        <w:t xml:space="preserve">experiencing </w:t>
      </w:r>
      <w:r w:rsidR="002C0FC8">
        <w:t>harassment online.</w:t>
      </w:r>
    </w:p>
    <w:p w14:paraId="2905F676" w14:textId="52AB44A7" w:rsidR="002C0FC8" w:rsidRDefault="00315976" w:rsidP="001B0B5D">
      <w:r>
        <w:t xml:space="preserve">The research also shows that </w:t>
      </w:r>
      <w:r w:rsidR="00592481">
        <w:t>certain populations</w:t>
      </w:r>
      <w:r>
        <w:t xml:space="preserve"> within the LGBTIQ+ population have </w:t>
      </w:r>
      <w:r w:rsidR="004F1393">
        <w:t xml:space="preserve">experienced high – and sometimes higher </w:t>
      </w:r>
      <w:r w:rsidR="006E6765">
        <w:t xml:space="preserve">than the broader LGBTIQ+ population </w:t>
      </w:r>
      <w:r w:rsidR="004F1393">
        <w:t>– rates of violence and harassment, including:</w:t>
      </w:r>
    </w:p>
    <w:p w14:paraId="2CBFCB3D" w14:textId="111E33B0" w:rsidR="00C92011" w:rsidRDefault="00840FED" w:rsidP="00B368F8">
      <w:pPr>
        <w:pStyle w:val="Bullet"/>
      </w:pPr>
      <w:r>
        <w:t>In data from the same 2012</w:t>
      </w:r>
      <w:r w:rsidR="002C0FC8">
        <w:t xml:space="preserve"> national</w:t>
      </w:r>
      <w:r>
        <w:t xml:space="preserve"> study, </w:t>
      </w:r>
      <w:r w:rsidR="00C92011" w:rsidRPr="00C92011">
        <w:t>LGBT respondents with a disability were</w:t>
      </w:r>
      <w:r>
        <w:t xml:space="preserve"> found even </w:t>
      </w:r>
      <w:r w:rsidR="00C92011" w:rsidRPr="00C92011">
        <w:t>more likely to have been subject to verbal abuse than respondents without disability in the previous year (32% versus 24%); more likely to have ‘received written threats of abuse including emails and graffiti’ (11% versus 5%); more likely to have been subject to harassment (21% vs 14%); and more likely to have been subject to threats of physical violence or physical assault without weapon such as being punched, kicked, or beaten (13% vs 8%)</w:t>
      </w:r>
      <w:r w:rsidR="00C92011">
        <w:t>.</w:t>
      </w:r>
      <w:r w:rsidR="00C92011">
        <w:rPr>
          <w:rStyle w:val="FootnoteReference"/>
        </w:rPr>
        <w:footnoteReference w:id="5"/>
      </w:r>
    </w:p>
    <w:p w14:paraId="71E01474" w14:textId="3CCD8C74" w:rsidR="00822C18" w:rsidRDefault="00822C18" w:rsidP="00822C18">
      <w:pPr>
        <w:pStyle w:val="Bullet"/>
      </w:pPr>
      <w:r>
        <w:t xml:space="preserve">A 2018-19 </w:t>
      </w:r>
      <w:r w:rsidR="00B51690">
        <w:t xml:space="preserve">national </w:t>
      </w:r>
      <w:r>
        <w:t xml:space="preserve">survey of </w:t>
      </w:r>
      <w:r w:rsidR="00861EE5">
        <w:t>528</w:t>
      </w:r>
      <w:r>
        <w:t xml:space="preserve"> trans and gender diverse adults found </w:t>
      </w:r>
      <w:r w:rsidR="00B51690">
        <w:t xml:space="preserve">that </w:t>
      </w:r>
      <w:r w:rsidR="00861EE5">
        <w:t xml:space="preserve">71% reported verbal harassment (74% of which occurred in the last 12 months) and 37% reported physical </w:t>
      </w:r>
      <w:r w:rsidR="00861EE5">
        <w:lastRenderedPageBreak/>
        <w:t>intimidation and threats (49% of which occurred in the last 12 months).  One in five participants had been physically assaulted, with a third of those assaults occurring in the last 12 months.</w:t>
      </w:r>
      <w:r w:rsidR="00861EE5">
        <w:rPr>
          <w:rStyle w:val="FootnoteReference"/>
        </w:rPr>
        <w:footnoteReference w:id="6"/>
      </w:r>
      <w:r w:rsidR="00861EE5">
        <w:t xml:space="preserve"> </w:t>
      </w:r>
    </w:p>
    <w:p w14:paraId="49043698" w14:textId="23C1F67B" w:rsidR="00840FED" w:rsidRDefault="00620EBE" w:rsidP="00822C18">
      <w:pPr>
        <w:pStyle w:val="Bullet"/>
      </w:pPr>
      <w:r>
        <w:t xml:space="preserve">A 2016 survey of 272 people with intersex variations (80% of which currently lived in Australia) included data from </w:t>
      </w:r>
      <w:r w:rsidR="00840FED">
        <w:t xml:space="preserve">77 </w:t>
      </w:r>
      <w:r>
        <w:t>participants</w:t>
      </w:r>
      <w:r w:rsidR="00840FED">
        <w:t xml:space="preserve"> </w:t>
      </w:r>
      <w:r>
        <w:t xml:space="preserve">who reporting experiencing bullying while at school, including </w:t>
      </w:r>
      <w:proofErr w:type="gramStart"/>
      <w:r>
        <w:t>on the basis of</w:t>
      </w:r>
      <w:proofErr w:type="gramEnd"/>
      <w:r>
        <w:t xml:space="preserve"> visible physical characteristics associated with a known intersex variation.</w:t>
      </w:r>
      <w:r>
        <w:rPr>
          <w:rStyle w:val="FootnoteReference"/>
        </w:rPr>
        <w:footnoteReference w:id="7"/>
      </w:r>
    </w:p>
    <w:p w14:paraId="15FB1FF8" w14:textId="2B61263A" w:rsidR="00237FE8" w:rsidRDefault="00237FE8" w:rsidP="00822C18">
      <w:pPr>
        <w:pStyle w:val="Bullet"/>
      </w:pPr>
      <w:r>
        <w:t>A 2010 national survey of 3</w:t>
      </w:r>
      <w:r w:rsidR="00822C18">
        <w:t>,134 same sex attracted and gender questioning young people found that 61% reported verbal abuse and 18% reported physical abuse</w:t>
      </w:r>
      <w:r w:rsidR="00B51690">
        <w:t xml:space="preserve"> because of homophobia</w:t>
      </w:r>
      <w:r w:rsidR="00822C18">
        <w:t>.  School was the most likely place of abuse, accounting for 80% of those who were abused.</w:t>
      </w:r>
      <w:r w:rsidR="00822C18">
        <w:rPr>
          <w:rStyle w:val="FootnoteReference"/>
        </w:rPr>
        <w:footnoteReference w:id="8"/>
      </w:r>
    </w:p>
    <w:p w14:paraId="4D70795F" w14:textId="55EEDD6A" w:rsidR="00237FE8" w:rsidRPr="006E177B" w:rsidRDefault="00237FE8" w:rsidP="006A0ECA">
      <w:pPr>
        <w:pStyle w:val="Bullet"/>
      </w:pPr>
      <w:r>
        <w:t>A 2018 national survey of 847 people living with HIV found that more than half of participants (56%) reported experiencing stigma within the last 12 months in relation to their HIV status, including 9% reporting that they ‘often’ or ‘always’ experienced stigma.</w:t>
      </w:r>
      <w:r>
        <w:rPr>
          <w:rStyle w:val="FootnoteReference"/>
        </w:rPr>
        <w:footnoteReference w:id="9"/>
      </w:r>
      <w:r>
        <w:t xml:space="preserve">  One-third also reported negative treatment by health workers.</w:t>
      </w:r>
      <w:r>
        <w:rPr>
          <w:rStyle w:val="FootnoteReference"/>
        </w:rPr>
        <w:footnoteReference w:id="10"/>
      </w:r>
    </w:p>
    <w:p w14:paraId="0B96420E" w14:textId="23ACBA55" w:rsidR="00DE7590" w:rsidRDefault="00394D14" w:rsidP="0001380D">
      <w:pPr>
        <w:pStyle w:val="Heading3"/>
      </w:pPr>
      <w:r>
        <w:t xml:space="preserve">the need for </w:t>
      </w:r>
      <w:r w:rsidR="00B0459F">
        <w:t xml:space="preserve">anti-hate </w:t>
      </w:r>
      <w:r w:rsidR="00DE7590">
        <w:t xml:space="preserve">laws </w:t>
      </w:r>
      <w:r w:rsidR="009042E8">
        <w:t>protecting LGBTIQ+ people</w:t>
      </w:r>
    </w:p>
    <w:p w14:paraId="7D17BE40" w14:textId="39F04E60" w:rsidR="00C218AD" w:rsidRDefault="00C218AD" w:rsidP="006A0ECA">
      <w:r>
        <w:t xml:space="preserve">We know that laws are not the only answer.  </w:t>
      </w:r>
      <w:r w:rsidR="00FC3D83">
        <w:t>We</w:t>
      </w:r>
      <w:r w:rsidR="00B7398F">
        <w:t xml:space="preserve"> also</w:t>
      </w:r>
      <w:r w:rsidR="00FC3D83">
        <w:t xml:space="preserve"> know that </w:t>
      </w:r>
      <w:r w:rsidR="003022CF">
        <w:t xml:space="preserve">many </w:t>
      </w:r>
      <w:r w:rsidR="004153C1">
        <w:t xml:space="preserve">LGBTIQ+ </w:t>
      </w:r>
      <w:r w:rsidR="003022CF">
        <w:t>people who</w:t>
      </w:r>
      <w:r w:rsidR="004153C1">
        <w:t xml:space="preserve"> have</w:t>
      </w:r>
      <w:r w:rsidR="003022CF">
        <w:t xml:space="preserve"> experience</w:t>
      </w:r>
      <w:r w:rsidR="004153C1">
        <w:t>d</w:t>
      </w:r>
      <w:r w:rsidR="003022CF">
        <w:t xml:space="preserve"> harassment, discrimination and violence respond </w:t>
      </w:r>
      <w:r w:rsidR="00B7398F">
        <w:t xml:space="preserve">to it </w:t>
      </w:r>
      <w:r w:rsidR="004153C1">
        <w:t xml:space="preserve">in </w:t>
      </w:r>
      <w:r w:rsidR="00935123">
        <w:t>creative and inspiring ways</w:t>
      </w:r>
      <w:r w:rsidR="00F61D95">
        <w:t xml:space="preserve"> without the backing of statute</w:t>
      </w:r>
      <w:r w:rsidR="00792562">
        <w:t xml:space="preserve">s </w:t>
      </w:r>
      <w:r w:rsidR="000A47D2">
        <w:t xml:space="preserve">providing </w:t>
      </w:r>
      <w:r w:rsidR="00792562">
        <w:t>formal remedies</w:t>
      </w:r>
      <w:r w:rsidR="00B7398F">
        <w:t>.</w:t>
      </w:r>
      <w:r w:rsidR="004153C1">
        <w:t xml:space="preserve">  We’ve marched, we’ve </w:t>
      </w:r>
      <w:r w:rsidR="004C5101">
        <w:t xml:space="preserve">written, we’ve performed, and we’ve spoken </w:t>
      </w:r>
      <w:r w:rsidR="009A4B38">
        <w:t>out</w:t>
      </w:r>
      <w:r w:rsidR="004C5101">
        <w:t>.</w:t>
      </w:r>
      <w:r w:rsidR="00590E08">
        <w:t xml:space="preserve">  </w:t>
      </w:r>
    </w:p>
    <w:p w14:paraId="79AB8C01" w14:textId="5E1A1071" w:rsidR="00105CFE" w:rsidRDefault="00590E08" w:rsidP="006A0ECA">
      <w:r>
        <w:t xml:space="preserve">But laws do matter.  </w:t>
      </w:r>
      <w:r w:rsidR="005F0A6C">
        <w:t xml:space="preserve">They signal </w:t>
      </w:r>
      <w:r w:rsidR="00EA50D1">
        <w:t>standards below which</w:t>
      </w:r>
      <w:r w:rsidR="00897F81">
        <w:t xml:space="preserve"> </w:t>
      </w:r>
      <w:r w:rsidR="00F47B5F">
        <w:t>behaviour becomes</w:t>
      </w:r>
      <w:r w:rsidR="00482536">
        <w:t xml:space="preserve"> socially</w:t>
      </w:r>
      <w:r w:rsidR="00F47B5F">
        <w:t xml:space="preserve"> unacceptable</w:t>
      </w:r>
      <w:r w:rsidR="007554CA">
        <w:t xml:space="preserve">.  </w:t>
      </w:r>
      <w:r w:rsidR="00F47B5F">
        <w:t>The</w:t>
      </w:r>
      <w:r w:rsidR="001504CB">
        <w:t>y also</w:t>
      </w:r>
      <w:r w:rsidR="00F47B5F">
        <w:t xml:space="preserve"> ensure </w:t>
      </w:r>
      <w:r w:rsidR="00767452">
        <w:t xml:space="preserve">those who breach </w:t>
      </w:r>
      <w:r w:rsidR="00F47B5F">
        <w:t xml:space="preserve">these minimum standards </w:t>
      </w:r>
      <w:r w:rsidR="00767452">
        <w:t xml:space="preserve">are </w:t>
      </w:r>
      <w:r w:rsidR="0065353F">
        <w:t>held to account</w:t>
      </w:r>
      <w:r w:rsidR="001504CB">
        <w:t xml:space="preserve">, providing </w:t>
      </w:r>
      <w:r w:rsidR="002F4BBB">
        <w:t xml:space="preserve">survivors with </w:t>
      </w:r>
      <w:r w:rsidR="00E2192E">
        <w:t xml:space="preserve">practical </w:t>
      </w:r>
      <w:r w:rsidR="002F4BBB">
        <w:t xml:space="preserve">remedies such as compensation to </w:t>
      </w:r>
      <w:r w:rsidR="00E2192E">
        <w:t>support the</w:t>
      </w:r>
      <w:r w:rsidR="004C0AF9">
        <w:t>ir</w:t>
      </w:r>
      <w:r w:rsidR="00E2192E">
        <w:t xml:space="preserve"> cost of recovery – but also importantly – an avenue for justice</w:t>
      </w:r>
      <w:r w:rsidR="0065353F">
        <w:t>.</w:t>
      </w:r>
      <w:r w:rsidR="00DD7F1F">
        <w:t xml:space="preserve">  </w:t>
      </w:r>
    </w:p>
    <w:p w14:paraId="20208F68" w14:textId="29E25D93" w:rsidR="000E2105" w:rsidRDefault="00DD7F1F" w:rsidP="006A0ECA">
      <w:r>
        <w:t>That is why we</w:t>
      </w:r>
      <w:r w:rsidR="004C0AF9">
        <w:t xml:space="preserve"> </w:t>
      </w:r>
      <w:r w:rsidR="00EB2284">
        <w:t xml:space="preserve">call for </w:t>
      </w:r>
      <w:r w:rsidR="00D105E2">
        <w:t xml:space="preserve">stronger and better protections in Queensland’s </w:t>
      </w:r>
      <w:r w:rsidR="00D105E2" w:rsidRPr="00574201">
        <w:rPr>
          <w:i/>
          <w:iCs/>
        </w:rPr>
        <w:t>Anti-Discrimination Act</w:t>
      </w:r>
      <w:r w:rsidR="00D105E2" w:rsidRPr="003538C8">
        <w:rPr>
          <w:i/>
          <w:iCs/>
        </w:rPr>
        <w:t xml:space="preserve"> </w:t>
      </w:r>
      <w:r w:rsidR="003538C8" w:rsidRPr="003538C8">
        <w:rPr>
          <w:i/>
          <w:iCs/>
        </w:rPr>
        <w:t>1991</w:t>
      </w:r>
      <w:r w:rsidR="003538C8">
        <w:t xml:space="preserve"> </w:t>
      </w:r>
      <w:r w:rsidR="00121412">
        <w:t xml:space="preserve">(the </w:t>
      </w:r>
      <w:r w:rsidR="00121412">
        <w:rPr>
          <w:b/>
          <w:bCs/>
        </w:rPr>
        <w:t>Act</w:t>
      </w:r>
      <w:r w:rsidR="00121412" w:rsidRPr="00121412">
        <w:t>)</w:t>
      </w:r>
      <w:r w:rsidR="00121412">
        <w:rPr>
          <w:b/>
          <w:bCs/>
        </w:rPr>
        <w:t xml:space="preserve"> </w:t>
      </w:r>
      <w:r w:rsidR="00574201">
        <w:t>against</w:t>
      </w:r>
      <w:r w:rsidR="00C71A33">
        <w:t xml:space="preserve"> </w:t>
      </w:r>
      <w:r w:rsidR="008A2EE6">
        <w:t>vilification</w:t>
      </w:r>
      <w:r w:rsidR="00B86281">
        <w:t xml:space="preserve">, </w:t>
      </w:r>
      <w:r w:rsidR="00766E79">
        <w:t xml:space="preserve">new provisions dealing with </w:t>
      </w:r>
      <w:r w:rsidR="008A2EE6">
        <w:t>hate-based conduct</w:t>
      </w:r>
      <w:r w:rsidR="00766E79">
        <w:t xml:space="preserve">, as well </w:t>
      </w:r>
      <w:r w:rsidR="00AD4EC0">
        <w:t xml:space="preserve">as </w:t>
      </w:r>
      <w:r w:rsidR="00574201">
        <w:t>better defined and expanded</w:t>
      </w:r>
      <w:r w:rsidR="00D37149">
        <w:t xml:space="preserve"> grounds of </w:t>
      </w:r>
      <w:r w:rsidR="008F7098">
        <w:t xml:space="preserve">protection for </w:t>
      </w:r>
      <w:r w:rsidR="008B5D1D">
        <w:t>sexual orientation, gender identity and expression,</w:t>
      </w:r>
      <w:r w:rsidR="001139A8">
        <w:t xml:space="preserve"> </w:t>
      </w:r>
      <w:r w:rsidR="00083028">
        <w:t xml:space="preserve">and </w:t>
      </w:r>
      <w:r w:rsidR="008B5D1D">
        <w:t>sex characteristics</w:t>
      </w:r>
      <w:r w:rsidR="00D37149">
        <w:t>.</w:t>
      </w:r>
      <w:r w:rsidR="00606061">
        <w:t xml:space="preserve">  </w:t>
      </w:r>
      <w:r w:rsidR="009240BC">
        <w:t>Queensland’s current definitions of ‘sexuality’</w:t>
      </w:r>
      <w:r w:rsidR="003538C8">
        <w:t xml:space="preserve"> and</w:t>
      </w:r>
      <w:r w:rsidR="009240BC">
        <w:t xml:space="preserve"> </w:t>
      </w:r>
      <w:proofErr w:type="spellStart"/>
      <w:r w:rsidR="00AD4EC0">
        <w:t>‘gender</w:t>
      </w:r>
      <w:proofErr w:type="spellEnd"/>
      <w:r w:rsidR="009240BC">
        <w:t xml:space="preserve"> identity’</w:t>
      </w:r>
      <w:r w:rsidR="00AD4EC0">
        <w:t>,</w:t>
      </w:r>
      <w:r w:rsidR="003538C8">
        <w:rPr>
          <w:rStyle w:val="FootnoteReference"/>
        </w:rPr>
        <w:footnoteReference w:id="11"/>
      </w:r>
      <w:r w:rsidR="009240BC">
        <w:t xml:space="preserve"> and its omission of a specific ground of ‘sex characteristics’</w:t>
      </w:r>
      <w:r w:rsidR="00AD4EC0">
        <w:t>,</w:t>
      </w:r>
      <w:r w:rsidR="009240BC">
        <w:t xml:space="preserve"> are out of step with </w:t>
      </w:r>
      <w:r w:rsidR="00AD4EC0">
        <w:t>other comparable Australian laws.</w:t>
      </w:r>
      <w:r w:rsidR="00E11E59">
        <w:t xml:space="preserve">  </w:t>
      </w:r>
      <w:r w:rsidR="001743D5">
        <w:t xml:space="preserve">As members of our communities </w:t>
      </w:r>
      <w:r w:rsidR="007F01F2">
        <w:t xml:space="preserve">are also </w:t>
      </w:r>
      <w:r w:rsidR="00052C6B">
        <w:t xml:space="preserve">members of other communities, </w:t>
      </w:r>
      <w:r w:rsidR="00962D19">
        <w:t xml:space="preserve">we </w:t>
      </w:r>
      <w:r w:rsidR="00083028">
        <w:t xml:space="preserve">also support </w:t>
      </w:r>
      <w:r w:rsidR="008A2EE6">
        <w:t xml:space="preserve">expanding the grounds of protection </w:t>
      </w:r>
      <w:r w:rsidR="00B05149">
        <w:t>against vilification</w:t>
      </w:r>
      <w:r w:rsidR="00574201">
        <w:t xml:space="preserve"> and hate-based conduct</w:t>
      </w:r>
      <w:r w:rsidR="00B05149">
        <w:t xml:space="preserve"> to include attributes such as gender, </w:t>
      </w:r>
      <w:r w:rsidR="00962D19">
        <w:t xml:space="preserve">HIV/AIDS </w:t>
      </w:r>
      <w:proofErr w:type="gramStart"/>
      <w:r w:rsidR="00962D19">
        <w:t>status</w:t>
      </w:r>
      <w:proofErr w:type="gramEnd"/>
      <w:r w:rsidR="00962D19">
        <w:t xml:space="preserve"> and disability</w:t>
      </w:r>
      <w:r w:rsidR="00240B47">
        <w:t>.</w:t>
      </w:r>
      <w:r w:rsidR="001212CA">
        <w:t xml:space="preserve"> </w:t>
      </w:r>
      <w:r w:rsidR="005E79FF">
        <w:t xml:space="preserve"> </w:t>
      </w:r>
    </w:p>
    <w:p w14:paraId="08957562" w14:textId="26DD0D9A" w:rsidR="00E11E59" w:rsidRPr="00E11E59" w:rsidRDefault="00E11E59" w:rsidP="006A0ECA">
      <w:pPr>
        <w:rPr>
          <w:i/>
          <w:iCs/>
        </w:rPr>
      </w:pPr>
      <w:r>
        <w:t xml:space="preserve">Our recommendations on reforming the </w:t>
      </w:r>
      <w:r w:rsidR="00121412" w:rsidRPr="00121412">
        <w:t>Act</w:t>
      </w:r>
      <w:r>
        <w:t xml:space="preserve">, insofar as </w:t>
      </w:r>
      <w:r w:rsidR="00121412">
        <w:t>it</w:t>
      </w:r>
      <w:r w:rsidR="00686471">
        <w:t xml:space="preserve"> deals with vilification </w:t>
      </w:r>
      <w:r w:rsidR="003F69D1">
        <w:t xml:space="preserve">in sections 124A and 131A, </w:t>
      </w:r>
      <w:r w:rsidR="00F97B58">
        <w:t>and to address</w:t>
      </w:r>
      <w:r w:rsidR="000D3BFC">
        <w:t xml:space="preserve"> properly other</w:t>
      </w:r>
      <w:r w:rsidR="00F97B58">
        <w:t xml:space="preserve"> </w:t>
      </w:r>
      <w:r w:rsidR="00686471">
        <w:t xml:space="preserve">hate-based conduct, </w:t>
      </w:r>
      <w:r w:rsidR="00093628">
        <w:t xml:space="preserve">are set out below.  </w:t>
      </w:r>
      <w:r w:rsidR="00F97B58">
        <w:t>The Act needs other reforms to ensure it better protects LGBTIQ+ people from discrimination</w:t>
      </w:r>
      <w:r w:rsidR="004D57FC">
        <w:t xml:space="preserve">.  </w:t>
      </w:r>
      <w:r w:rsidR="00372C59">
        <w:t>Given the upcoming Queensland Human Rights Commission review in</w:t>
      </w:r>
      <w:r w:rsidR="003179A0">
        <w:t>to</w:t>
      </w:r>
      <w:r w:rsidR="00372C59">
        <w:t xml:space="preserve"> the Act and the</w:t>
      </w:r>
      <w:r w:rsidR="003179A0">
        <w:t xml:space="preserve"> more limited</w:t>
      </w:r>
      <w:r w:rsidR="00372C59">
        <w:t xml:space="preserve"> scope of this inquiry, we will not address these wider areas of reform in this submission.  </w:t>
      </w:r>
    </w:p>
    <w:p w14:paraId="3DF1E862" w14:textId="26422918" w:rsidR="002E0DCF" w:rsidRDefault="002E0DCF" w:rsidP="00840FED">
      <w:pPr>
        <w:pStyle w:val="Heading3"/>
      </w:pPr>
      <w:r>
        <w:lastRenderedPageBreak/>
        <w:t>The way forward</w:t>
      </w:r>
    </w:p>
    <w:p w14:paraId="76C01D73" w14:textId="1CB69CC5" w:rsidR="000E3298" w:rsidRDefault="000E3298" w:rsidP="0094230A">
      <w:pPr>
        <w:pStyle w:val="Heading2"/>
        <w:numPr>
          <w:ilvl w:val="0"/>
          <w:numId w:val="0"/>
        </w:numPr>
      </w:pPr>
      <w:r>
        <w:t xml:space="preserve">Changing </w:t>
      </w:r>
      <w:r w:rsidRPr="009402F3">
        <w:t>laws</w:t>
      </w:r>
    </w:p>
    <w:p w14:paraId="24A8E1AC" w14:textId="6C4AC1A2" w:rsidR="0094230A" w:rsidRPr="0094230A" w:rsidRDefault="0094230A" w:rsidP="00A54EE5">
      <w:pPr>
        <w:pStyle w:val="Intro"/>
      </w:pPr>
      <w:r>
        <w:t>Updating definitions and including new attributes</w:t>
      </w:r>
    </w:p>
    <w:p w14:paraId="6FB794EB" w14:textId="0284524E" w:rsidR="002F1FE4" w:rsidRDefault="002E5F14" w:rsidP="00205956">
      <w:r>
        <w:t xml:space="preserve">The Queensland </w:t>
      </w:r>
      <w:r w:rsidRPr="002E5F14">
        <w:rPr>
          <w:i/>
          <w:iCs/>
        </w:rPr>
        <w:t>Anti-Discrimination Act</w:t>
      </w:r>
      <w:r>
        <w:rPr>
          <w:i/>
          <w:iCs/>
        </w:rPr>
        <w:t xml:space="preserve"> 1991</w:t>
      </w:r>
      <w:r w:rsidR="000D1DB0">
        <w:rPr>
          <w:i/>
          <w:iCs/>
        </w:rPr>
        <w:t xml:space="preserve"> </w:t>
      </w:r>
      <w:r w:rsidR="000D1DB0">
        <w:t xml:space="preserve">(the </w:t>
      </w:r>
      <w:r w:rsidR="000D1DB0" w:rsidRPr="000D1DB0">
        <w:rPr>
          <w:b/>
          <w:bCs/>
        </w:rPr>
        <w:t>Act</w:t>
      </w:r>
      <w:r w:rsidR="000D1DB0">
        <w:t>)</w:t>
      </w:r>
      <w:r>
        <w:rPr>
          <w:i/>
          <w:iCs/>
        </w:rPr>
        <w:t xml:space="preserve"> </w:t>
      </w:r>
      <w:r>
        <w:t xml:space="preserve">prohibits unlawful </w:t>
      </w:r>
      <w:r w:rsidR="00F057B6">
        <w:t>vilification</w:t>
      </w:r>
      <w:r>
        <w:t xml:space="preserve">, by way of a civil </w:t>
      </w:r>
      <w:r w:rsidR="00570B2F">
        <w:t>regime</w:t>
      </w:r>
      <w:r w:rsidR="00B22E6F">
        <w:t xml:space="preserve"> (s 124A</w:t>
      </w:r>
      <w:proofErr w:type="gramStart"/>
      <w:r w:rsidR="00B22E6F">
        <w:t>)</w:t>
      </w:r>
      <w:r>
        <w:t>, and</w:t>
      </w:r>
      <w:proofErr w:type="gramEnd"/>
      <w:r>
        <w:t xml:space="preserve"> prohibits</w:t>
      </w:r>
      <w:r w:rsidR="00F057B6">
        <w:t xml:space="preserve"> serious vilification by way of a criminal offence</w:t>
      </w:r>
      <w:r w:rsidR="00004862">
        <w:t xml:space="preserve"> (s </w:t>
      </w:r>
      <w:r w:rsidR="00B22E6F">
        <w:t>131A)</w:t>
      </w:r>
      <w:r w:rsidR="00F057B6">
        <w:t>.</w:t>
      </w:r>
      <w:r w:rsidR="00753BB7">
        <w:t xml:space="preserve">  Both provisions rely on definitions of ‘sexuality’ and </w:t>
      </w:r>
      <w:proofErr w:type="spellStart"/>
      <w:r w:rsidR="00B22E6F">
        <w:t>‘gender</w:t>
      </w:r>
      <w:proofErr w:type="spellEnd"/>
      <w:r w:rsidR="00753BB7">
        <w:t xml:space="preserve"> identity’</w:t>
      </w:r>
      <w:r w:rsidR="00570B2F">
        <w:t xml:space="preserve"> </w:t>
      </w:r>
      <w:r w:rsidR="00B22E6F">
        <w:t xml:space="preserve">currently </w:t>
      </w:r>
      <w:r w:rsidR="00570B2F">
        <w:t>contained</w:t>
      </w:r>
      <w:r w:rsidR="00753BB7">
        <w:t xml:space="preserve"> in the Act, </w:t>
      </w:r>
      <w:r w:rsidR="00205956">
        <w:t xml:space="preserve">which </w:t>
      </w:r>
      <w:r w:rsidR="00B22E6F">
        <w:t xml:space="preserve">are out of step with comparable </w:t>
      </w:r>
      <w:r w:rsidR="004935E5">
        <w:t xml:space="preserve">contemporary </w:t>
      </w:r>
      <w:r w:rsidR="00B22E6F">
        <w:t xml:space="preserve">Australian </w:t>
      </w:r>
      <w:r w:rsidR="009C7AF6">
        <w:t>definitions</w:t>
      </w:r>
      <w:r w:rsidR="00A54EE5">
        <w:t xml:space="preserve">.  These definitions </w:t>
      </w:r>
      <w:r w:rsidR="00B22E6F">
        <w:t>should be updated</w:t>
      </w:r>
      <w:r w:rsidR="00205956">
        <w:t xml:space="preserve"> to properly protect all LGBTIQ+ people</w:t>
      </w:r>
      <w:r w:rsidR="00B22E6F">
        <w:t>.</w:t>
      </w:r>
    </w:p>
    <w:p w14:paraId="768EE523" w14:textId="1F24316C" w:rsidR="00B22E6F" w:rsidRDefault="00B22E6F" w:rsidP="002E5F14">
      <w:r>
        <w:t xml:space="preserve">‘Sexuality’ is defined to </w:t>
      </w:r>
      <w:r w:rsidR="00900384" w:rsidRPr="00A41A25">
        <w:rPr>
          <w:i/>
          <w:iCs/>
        </w:rPr>
        <w:t>mean</w:t>
      </w:r>
      <w:r>
        <w:t xml:space="preserve"> heterosexuality, </w:t>
      </w:r>
      <w:proofErr w:type="gramStart"/>
      <w:r>
        <w:t>homosexuality</w:t>
      </w:r>
      <w:proofErr w:type="gramEnd"/>
      <w:r>
        <w:t xml:space="preserve"> and bisexuality.</w:t>
      </w:r>
      <w:r>
        <w:rPr>
          <w:rStyle w:val="FootnoteReference"/>
        </w:rPr>
        <w:footnoteReference w:id="12"/>
      </w:r>
      <w:r>
        <w:t xml:space="preserve"> </w:t>
      </w:r>
      <w:r w:rsidR="00572DB9">
        <w:t xml:space="preserve"> By contrast, </w:t>
      </w:r>
      <w:r>
        <w:t xml:space="preserve">Victoria, </w:t>
      </w:r>
      <w:r w:rsidR="00900384">
        <w:t xml:space="preserve">the ACT and Tasmania provide </w:t>
      </w:r>
      <w:r w:rsidR="007E69B5">
        <w:t xml:space="preserve">more inclusive </w:t>
      </w:r>
      <w:r w:rsidR="004E545B">
        <w:t xml:space="preserve">and contemporary </w:t>
      </w:r>
      <w:r w:rsidR="007E69B5">
        <w:t>definitions</w:t>
      </w:r>
      <w:r w:rsidR="009B759A">
        <w:t xml:space="preserve"> of ‘sexual orientation’</w:t>
      </w:r>
      <w:r w:rsidR="007E69B5">
        <w:t xml:space="preserve"> </w:t>
      </w:r>
      <w:r w:rsidR="004E545B">
        <w:t xml:space="preserve">that </w:t>
      </w:r>
      <w:r w:rsidR="0011419A">
        <w:t xml:space="preserve">more clearly </w:t>
      </w:r>
      <w:r w:rsidR="004E545B">
        <w:t xml:space="preserve">extend to people </w:t>
      </w:r>
      <w:r w:rsidR="0011419A">
        <w:t>however they define their sexual orientation</w:t>
      </w:r>
      <w:r w:rsidR="009B759A">
        <w:t>.</w:t>
      </w:r>
      <w:r w:rsidR="0011419A">
        <w:t xml:space="preserve">  The ACT and Tasmania define </w:t>
      </w:r>
      <w:r w:rsidR="00B65619">
        <w:t>‘sexuality’/</w:t>
      </w:r>
      <w:r w:rsidR="0011419A">
        <w:t>‘sexual orientation’</w:t>
      </w:r>
      <w:r w:rsidR="0047323B">
        <w:t xml:space="preserve"> as </w:t>
      </w:r>
      <w:r w:rsidR="0047323B" w:rsidRPr="0047323B">
        <w:rPr>
          <w:i/>
          <w:iCs/>
        </w:rPr>
        <w:t>including</w:t>
      </w:r>
      <w:r w:rsidR="0047323B">
        <w:t xml:space="preserve"> heterosexuality, homosexuality and bisexuality (meaning, these definitions are not exhaustive)</w:t>
      </w:r>
      <w:r w:rsidR="004E0F07">
        <w:t>.</w:t>
      </w:r>
      <w:r w:rsidR="00526458">
        <w:rPr>
          <w:rStyle w:val="FootnoteReference"/>
        </w:rPr>
        <w:footnoteReference w:id="13"/>
      </w:r>
      <w:r w:rsidR="0047323B">
        <w:t xml:space="preserve"> Victoria </w:t>
      </w:r>
      <w:r w:rsidR="003C3B3A">
        <w:t>has recently adopted</w:t>
      </w:r>
      <w:r w:rsidR="0047323B">
        <w:t xml:space="preserve"> the definition contained in the Yogyakarta Principles</w:t>
      </w:r>
      <w:r w:rsidR="00E10579">
        <w:t>, a</w:t>
      </w:r>
      <w:r w:rsidR="00CA46B6">
        <w:t xml:space="preserve">n internationally-recognised statement drafted by human rights experts on the application of international human rights law to </w:t>
      </w:r>
      <w:r w:rsidR="000E4936">
        <w:t xml:space="preserve">issues concerning </w:t>
      </w:r>
      <w:r w:rsidR="00CA46B6">
        <w:t>sexual orientation, gender identity and expression</w:t>
      </w:r>
      <w:r w:rsidR="000E4936">
        <w:t>,</w:t>
      </w:r>
      <w:r w:rsidR="00CA46B6">
        <w:t xml:space="preserve"> and </w:t>
      </w:r>
      <w:r w:rsidR="000E4936">
        <w:t>sex characteristics.</w:t>
      </w:r>
      <w:r w:rsidR="000E4936">
        <w:rPr>
          <w:rStyle w:val="FootnoteReference"/>
        </w:rPr>
        <w:footnoteReference w:id="14"/>
      </w:r>
      <w:r w:rsidR="00E10579">
        <w:t xml:space="preserve"> </w:t>
      </w:r>
      <w:r w:rsidR="002F1FE4">
        <w:t xml:space="preserve"> </w:t>
      </w:r>
      <w:r w:rsidR="009D0476">
        <w:t xml:space="preserve">We would be comfortable with either approach, with a slight preference for the ACT and Tasmanian definitions </w:t>
      </w:r>
      <w:r w:rsidR="00A41A25">
        <w:t xml:space="preserve">because they achieve simplicity while </w:t>
      </w:r>
      <w:r w:rsidR="00BF0C9E">
        <w:t>retaining their ability to be inclusive.</w:t>
      </w:r>
    </w:p>
    <w:p w14:paraId="6E0124FF" w14:textId="65237369" w:rsidR="00447974" w:rsidRDefault="002F1FE4" w:rsidP="00BF7878">
      <w:r>
        <w:t>‘Gender identity’ is</w:t>
      </w:r>
      <w:r w:rsidR="006450DE">
        <w:t xml:space="preserve"> currently</w:t>
      </w:r>
      <w:r>
        <w:t xml:space="preserve"> defined </w:t>
      </w:r>
      <w:r w:rsidR="000D1DB0">
        <w:t xml:space="preserve">in the Act </w:t>
      </w:r>
      <w:r w:rsidR="00A84D7D">
        <w:t>by reference to people who live or seek to live as members of the ‘opposite sex’</w:t>
      </w:r>
      <w:r w:rsidR="00E80C83">
        <w:t>, including those of ‘indeterminate sex’.</w:t>
      </w:r>
      <w:r w:rsidR="00E80C83">
        <w:rPr>
          <w:rStyle w:val="FootnoteReference"/>
        </w:rPr>
        <w:footnoteReference w:id="15"/>
      </w:r>
      <w:r w:rsidR="00E80C83">
        <w:t xml:space="preserve"> </w:t>
      </w:r>
      <w:r w:rsidR="00397559">
        <w:t xml:space="preserve"> </w:t>
      </w:r>
      <w:r w:rsidR="00902C4D">
        <w:t xml:space="preserve">This definition is problematic for </w:t>
      </w:r>
      <w:r w:rsidR="00D6088E">
        <w:t>several</w:t>
      </w:r>
      <w:r w:rsidR="00902C4D">
        <w:t xml:space="preserve"> reasons.  First, it does not specifically protect gender-related expression.</w:t>
      </w:r>
      <w:r w:rsidR="00E9743F">
        <w:t xml:space="preserve">  Second, it defines gender by reference to a binary, meaning non-binary people may be excluded from protection.  Third, it conflates </w:t>
      </w:r>
      <w:r w:rsidR="00BA18C5">
        <w:t xml:space="preserve">gender identity </w:t>
      </w:r>
      <w:r w:rsidR="002B2FD2">
        <w:t>and</w:t>
      </w:r>
      <w:r w:rsidR="00BA18C5">
        <w:t xml:space="preserve"> </w:t>
      </w:r>
      <w:r w:rsidR="006D6387">
        <w:t>innate variations of sex characteristics</w:t>
      </w:r>
      <w:r w:rsidR="003107CE">
        <w:t xml:space="preserve"> </w:t>
      </w:r>
      <w:r w:rsidR="006C1457" w:rsidRPr="006C1457">
        <w:t>because of the inclusion of ‘indeterminate sex</w:t>
      </w:r>
      <w:r w:rsidR="006C1457">
        <w:t>’</w:t>
      </w:r>
      <w:r w:rsidR="006C1457" w:rsidRPr="006C1457">
        <w:t xml:space="preserve"> in the definition</w:t>
      </w:r>
      <w:r w:rsidR="00AF1ED7">
        <w:t xml:space="preserve">. </w:t>
      </w:r>
      <w:r w:rsidR="00EC3E18">
        <w:t xml:space="preserve"> </w:t>
      </w:r>
      <w:r w:rsidR="003D14C0">
        <w:t xml:space="preserve">As Intersex Human Rights Australia </w:t>
      </w:r>
      <w:r w:rsidR="00852E60">
        <w:t>explains</w:t>
      </w:r>
      <w:r w:rsidR="006C1457">
        <w:t>,</w:t>
      </w:r>
      <w:r w:rsidR="00357815">
        <w:t xml:space="preserve"> and the Darlington Statement </w:t>
      </w:r>
      <w:r w:rsidR="00852E60">
        <w:t>warns</w:t>
      </w:r>
      <w:r w:rsidR="006C1457">
        <w:t>,</w:t>
      </w:r>
      <w:r w:rsidR="00881CE2">
        <w:t xml:space="preserve"> </w:t>
      </w:r>
      <w:r w:rsidR="005F02A1">
        <w:t xml:space="preserve">this conflation </w:t>
      </w:r>
      <w:r w:rsidR="00560486">
        <w:t>imposes descriptions on the</w:t>
      </w:r>
      <w:r w:rsidR="005F02A1">
        <w:t xml:space="preserve"> </w:t>
      </w:r>
      <w:r w:rsidR="001839A8">
        <w:t xml:space="preserve">intersex </w:t>
      </w:r>
      <w:r w:rsidR="005F02A1">
        <w:t>population</w:t>
      </w:r>
      <w:r w:rsidR="00560486">
        <w:t xml:space="preserve"> that marks </w:t>
      </w:r>
      <w:r w:rsidR="00F02CA6">
        <w:t xml:space="preserve">them out as a </w:t>
      </w:r>
      <w:r w:rsidR="00560486">
        <w:t xml:space="preserve">‘third sex’ and </w:t>
      </w:r>
      <w:r w:rsidR="001839A8">
        <w:t>assum</w:t>
      </w:r>
      <w:r w:rsidR="00560486">
        <w:t>es</w:t>
      </w:r>
      <w:r w:rsidR="001839A8">
        <w:t xml:space="preserve"> that </w:t>
      </w:r>
      <w:r w:rsidR="00357815">
        <w:t xml:space="preserve">innate </w:t>
      </w:r>
      <w:r w:rsidR="001839A8">
        <w:t xml:space="preserve">variations of sex characteristics </w:t>
      </w:r>
      <w:r w:rsidR="00357815">
        <w:t>determine a person’s gender identity.</w:t>
      </w:r>
      <w:r w:rsidR="00357815">
        <w:rPr>
          <w:rStyle w:val="FootnoteReference"/>
        </w:rPr>
        <w:footnoteReference w:id="16"/>
      </w:r>
    </w:p>
    <w:p w14:paraId="614EE0B2" w14:textId="40FEA7F8" w:rsidR="00BF7878" w:rsidRDefault="00AB69E7" w:rsidP="00BF7878">
      <w:r>
        <w:t>The ACT, Tasmania</w:t>
      </w:r>
      <w:r w:rsidR="00325393">
        <w:t xml:space="preserve"> and Victoria (</w:t>
      </w:r>
      <w:r w:rsidR="00167645">
        <w:t xml:space="preserve">and </w:t>
      </w:r>
      <w:r w:rsidR="009E5C67">
        <w:t xml:space="preserve">also, </w:t>
      </w:r>
      <w:r w:rsidR="00167645">
        <w:t xml:space="preserve">to a lesser extent, </w:t>
      </w:r>
      <w:r w:rsidR="006D4F62">
        <w:t>the Commonwealth</w:t>
      </w:r>
      <w:r w:rsidR="007F4A11">
        <w:t xml:space="preserve"> and South Australia</w:t>
      </w:r>
      <w:r w:rsidR="00325393">
        <w:t>)</w:t>
      </w:r>
      <w:r w:rsidR="00167645">
        <w:t xml:space="preserve"> have better definitions of gender identity</w:t>
      </w:r>
      <w:r w:rsidR="0073795D">
        <w:t xml:space="preserve"> </w:t>
      </w:r>
      <w:r w:rsidR="00447974">
        <w:t>that include</w:t>
      </w:r>
      <w:r w:rsidR="0073795D">
        <w:t xml:space="preserve"> gender-related </w:t>
      </w:r>
      <w:proofErr w:type="gramStart"/>
      <w:r w:rsidR="0073795D">
        <w:t>expression</w:t>
      </w:r>
      <w:r w:rsidR="00167645">
        <w:t>, and</w:t>
      </w:r>
      <w:proofErr w:type="gramEnd"/>
      <w:r w:rsidR="00167645">
        <w:t xml:space="preserve"> provide protection to people </w:t>
      </w:r>
      <w:r w:rsidR="00447974">
        <w:t xml:space="preserve">with intersex variations using </w:t>
      </w:r>
      <w:r w:rsidR="00684B49">
        <w:t xml:space="preserve">standalone </w:t>
      </w:r>
      <w:r w:rsidR="00724389">
        <w:t xml:space="preserve">protections </w:t>
      </w:r>
      <w:r w:rsidR="00684B49">
        <w:t>and</w:t>
      </w:r>
      <w:r w:rsidR="00724389">
        <w:t xml:space="preserve"> more</w:t>
      </w:r>
      <w:r w:rsidR="00684B49">
        <w:t xml:space="preserve"> contemporary definitions</w:t>
      </w:r>
      <w:r w:rsidR="009E5C67">
        <w:t>.</w:t>
      </w:r>
      <w:r w:rsidR="00D02F89">
        <w:t xml:space="preserve">  </w:t>
      </w:r>
      <w:r w:rsidR="005260E9">
        <w:t>‘</w:t>
      </w:r>
      <w:r w:rsidR="00D02F89">
        <w:t>Gender identity</w:t>
      </w:r>
      <w:r w:rsidR="005260E9">
        <w:t>’</w:t>
      </w:r>
      <w:r w:rsidR="00D02F89">
        <w:t xml:space="preserve"> is</w:t>
      </w:r>
      <w:r w:rsidR="00133877">
        <w:t xml:space="preserve"> variously</w:t>
      </w:r>
      <w:r w:rsidR="00D02F89">
        <w:t xml:space="preserve"> defined in the</w:t>
      </w:r>
      <w:r w:rsidR="005260E9">
        <w:t xml:space="preserve"> laws of the</w:t>
      </w:r>
      <w:r w:rsidR="00D02F89">
        <w:t xml:space="preserve"> ACT, Victoria, Tasmania, South Australia and the Commonwealth to </w:t>
      </w:r>
      <w:r w:rsidR="00133877">
        <w:t>include</w:t>
      </w:r>
      <w:r w:rsidR="00D02F89">
        <w:t xml:space="preserve"> gender-related expression</w:t>
      </w:r>
      <w:r w:rsidR="00133877">
        <w:t xml:space="preserve">, and to clarify that people do not </w:t>
      </w:r>
      <w:r w:rsidR="0067246F">
        <w:t xml:space="preserve">need to have undergone medical treatment or updated their </w:t>
      </w:r>
      <w:r w:rsidR="0067246F">
        <w:lastRenderedPageBreak/>
        <w:t>legal gender in order to be protected</w:t>
      </w:r>
      <w:r w:rsidR="00133877">
        <w:t>.</w:t>
      </w:r>
      <w:r w:rsidR="00D02F89">
        <w:rPr>
          <w:rStyle w:val="FootnoteReference"/>
        </w:rPr>
        <w:footnoteReference w:id="17"/>
      </w:r>
      <w:r w:rsidR="00163399">
        <w:t xml:space="preserve">  An independent protection for people with innate variations of sex characteristics </w:t>
      </w:r>
      <w:r w:rsidR="009B4526">
        <w:t xml:space="preserve">is achieved through a separate </w:t>
      </w:r>
      <w:r w:rsidR="00163399">
        <w:t xml:space="preserve">‘sex </w:t>
      </w:r>
      <w:r w:rsidR="009B4526">
        <w:t>characteristics</w:t>
      </w:r>
      <w:r w:rsidR="00163399">
        <w:t xml:space="preserve">’ </w:t>
      </w:r>
      <w:r w:rsidR="009B4526">
        <w:t>ground</w:t>
      </w:r>
      <w:r w:rsidR="00F17B19">
        <w:t xml:space="preserve"> in the ACT, Victoria and Tasmania,</w:t>
      </w:r>
      <w:r w:rsidR="009B4526">
        <w:t xml:space="preserve"> </w:t>
      </w:r>
      <w:r w:rsidR="009E41FD">
        <w:t>which is</w:t>
      </w:r>
      <w:r w:rsidR="009B4526">
        <w:t xml:space="preserve"> the more contemporary </w:t>
      </w:r>
      <w:r w:rsidR="009E41FD">
        <w:t xml:space="preserve">and preferred </w:t>
      </w:r>
      <w:r w:rsidR="009B4526">
        <w:t>approach.</w:t>
      </w:r>
      <w:r w:rsidR="006022C9">
        <w:rPr>
          <w:rStyle w:val="FootnoteReference"/>
        </w:rPr>
        <w:footnoteReference w:id="18"/>
      </w:r>
      <w:r w:rsidR="00447974">
        <w:t xml:space="preserve">  ‘Intersex status’, as defined in the Commonwealth and South Australia,</w:t>
      </w:r>
      <w:r w:rsidR="00724389">
        <w:t xml:space="preserve"> also</w:t>
      </w:r>
      <w:r w:rsidR="00447974">
        <w:t xml:space="preserve"> provides protection to intersex people, </w:t>
      </w:r>
      <w:r w:rsidR="003053F0">
        <w:t>but now reflects outdated definitions.</w:t>
      </w:r>
    </w:p>
    <w:p w14:paraId="572AEBCE" w14:textId="4AB21F97" w:rsidR="002F1FE4" w:rsidRDefault="00205956" w:rsidP="00BF7878">
      <w:r>
        <w:t xml:space="preserve">In addition to </w:t>
      </w:r>
      <w:r w:rsidR="009E41FD">
        <w:t xml:space="preserve">protecting LGBTIQ+ people properly, we would also support expanding </w:t>
      </w:r>
      <w:r w:rsidR="00B00EFF">
        <w:t xml:space="preserve">protections to other groups that may experience vilification or hate-based conduct, including based on gender, HIV/AIDS </w:t>
      </w:r>
      <w:proofErr w:type="gramStart"/>
      <w:r w:rsidR="00B00EFF">
        <w:t>status</w:t>
      </w:r>
      <w:proofErr w:type="gramEnd"/>
      <w:r w:rsidR="00B00EFF">
        <w:t xml:space="preserve"> and disability.</w:t>
      </w:r>
      <w:r w:rsidR="00261037">
        <w:t xml:space="preserve">  </w:t>
      </w:r>
      <w:r w:rsidR="00EC3BFF">
        <w:t>Gender is protected in Tasmania</w:t>
      </w:r>
      <w:r w:rsidR="00D17419">
        <w:t>;</w:t>
      </w:r>
      <w:r w:rsidR="00EC3BFF">
        <w:t xml:space="preserve"> HIV/AIDS status is protected in NSW and the ACT</w:t>
      </w:r>
      <w:r w:rsidR="00D17419">
        <w:t>;</w:t>
      </w:r>
      <w:r w:rsidR="00EC3BFF">
        <w:t xml:space="preserve"> and disability is protected in the ACT and Tasmania.  </w:t>
      </w:r>
      <w:r w:rsidR="00EF3B50">
        <w:t xml:space="preserve">Tasmania also provides protection </w:t>
      </w:r>
      <w:r w:rsidR="00C917CC">
        <w:t>on</w:t>
      </w:r>
      <w:r w:rsidR="00EF3B50">
        <w:t xml:space="preserve"> </w:t>
      </w:r>
      <w:r w:rsidR="00C917CC">
        <w:t>several</w:t>
      </w:r>
      <w:r w:rsidR="00EF3B50">
        <w:t xml:space="preserve"> other grounds, such as age, marital status, </w:t>
      </w:r>
      <w:proofErr w:type="gramStart"/>
      <w:r w:rsidR="00EF3B50">
        <w:t>pregnancy</w:t>
      </w:r>
      <w:proofErr w:type="gramEnd"/>
      <w:r w:rsidR="00EF3B50">
        <w:t xml:space="preserve"> and parental status.</w:t>
      </w:r>
    </w:p>
    <w:p w14:paraId="223A5D41" w14:textId="5C5184EA" w:rsidR="00EF3B50" w:rsidRDefault="00C72346" w:rsidP="00EF3B50">
      <w:pPr>
        <w:pStyle w:val="Intro"/>
      </w:pPr>
      <w:r>
        <w:t>Introduce</w:t>
      </w:r>
      <w:r w:rsidR="00DF13D7">
        <w:t xml:space="preserve"> a new harm-based protection against hate-based conduct</w:t>
      </w:r>
    </w:p>
    <w:p w14:paraId="3E64DBA0" w14:textId="77755BCE" w:rsidR="00C917CC" w:rsidRDefault="00B842C1" w:rsidP="00C917CC">
      <w:r>
        <w:t xml:space="preserve">The key issue with vilification protections is </w:t>
      </w:r>
      <w:r w:rsidR="000011E3">
        <w:t>that they tend to focus on the potential effects of the conduct in inciting hatred</w:t>
      </w:r>
      <w:r w:rsidR="00262E6C">
        <w:t xml:space="preserve">, </w:t>
      </w:r>
      <w:proofErr w:type="gramStart"/>
      <w:r w:rsidR="00262E6C">
        <w:t>contempt</w:t>
      </w:r>
      <w:proofErr w:type="gramEnd"/>
      <w:r w:rsidR="00262E6C">
        <w:t xml:space="preserve"> and ridicule </w:t>
      </w:r>
      <w:r w:rsidR="00313349">
        <w:t>in a hypothetical audience</w:t>
      </w:r>
      <w:r w:rsidR="00262E6C">
        <w:t>, ignoring the</w:t>
      </w:r>
      <w:r w:rsidR="00313349">
        <w:t xml:space="preserve"> very real and direct</w:t>
      </w:r>
      <w:r w:rsidR="00262E6C">
        <w:t xml:space="preserve"> harm that they cause </w:t>
      </w:r>
      <w:r w:rsidR="00FA13EB">
        <w:t xml:space="preserve">to the person who is targeted by </w:t>
      </w:r>
      <w:r w:rsidR="00ED13FB">
        <w:t>that</w:t>
      </w:r>
      <w:r w:rsidR="00FA13EB">
        <w:t xml:space="preserve"> conduct.  For example, in considering whether</w:t>
      </w:r>
      <w:r w:rsidR="00BC26E0">
        <w:t xml:space="preserve"> anti-</w:t>
      </w:r>
      <w:r w:rsidR="00C8659F">
        <w:t>LGBTIQ+</w:t>
      </w:r>
      <w:r w:rsidR="00FA13EB">
        <w:t xml:space="preserve"> </w:t>
      </w:r>
      <w:r w:rsidR="00BC26E0">
        <w:t xml:space="preserve">graffiti painted on someone’s fence </w:t>
      </w:r>
      <w:r w:rsidR="00A424E0">
        <w:t>amounts to vilification, the current legal provisions focus on whether that conduct incites hatred, serious contempt or severe ridicul</w:t>
      </w:r>
      <w:r w:rsidR="00C8659F">
        <w:t xml:space="preserve">e of </w:t>
      </w:r>
      <w:r w:rsidR="00BD7117">
        <w:t xml:space="preserve">persons on the ground of their sexual orientation, gender identity or sex characteristics.  It does not </w:t>
      </w:r>
      <w:r w:rsidR="0013293D">
        <w:t xml:space="preserve">consider whether the person </w:t>
      </w:r>
      <w:r w:rsidR="002D08F7">
        <w:t>whose</w:t>
      </w:r>
      <w:r w:rsidR="0013293D">
        <w:t xml:space="preserve"> fence has been graffitied has suffered any harm</w:t>
      </w:r>
      <w:r w:rsidR="00B85FAF">
        <w:t xml:space="preserve">, </w:t>
      </w:r>
      <w:r w:rsidR="002D08F7">
        <w:t xml:space="preserve">such as the experience of being humiliated, </w:t>
      </w:r>
      <w:r w:rsidR="009C1337">
        <w:t>intimidated,</w:t>
      </w:r>
      <w:r w:rsidR="002D08F7">
        <w:t xml:space="preserve"> or </w:t>
      </w:r>
      <w:r w:rsidR="00396EA6">
        <w:t xml:space="preserve">being made to </w:t>
      </w:r>
      <w:r w:rsidR="00413818">
        <w:t>feel unsafe</w:t>
      </w:r>
      <w:r w:rsidR="009C1337">
        <w:t xml:space="preserve"> </w:t>
      </w:r>
      <w:r w:rsidR="00396EA6">
        <w:t>in their own home</w:t>
      </w:r>
      <w:r w:rsidR="00413818">
        <w:t>.</w:t>
      </w:r>
    </w:p>
    <w:p w14:paraId="0B1D1840" w14:textId="4D181E1C" w:rsidR="00927AE5" w:rsidRDefault="00413818" w:rsidP="00A029F9">
      <w:r>
        <w:t xml:space="preserve">For this reason, we support enacting a new protection against hate-based conduct which </w:t>
      </w:r>
      <w:r w:rsidR="00057283">
        <w:t xml:space="preserve">uses </w:t>
      </w:r>
      <w:r>
        <w:t>a harm-based legal standard</w:t>
      </w:r>
      <w:r w:rsidR="00A71C88">
        <w:t>, as recently recommended by the Victorian</w:t>
      </w:r>
      <w:r w:rsidR="00652B90">
        <w:t xml:space="preserve"> </w:t>
      </w:r>
      <w:r w:rsidR="00947859">
        <w:t xml:space="preserve">Parliamentary </w:t>
      </w:r>
      <w:r w:rsidR="00652B90">
        <w:t>Legal and Social Issues Committee</w:t>
      </w:r>
      <w:r w:rsidR="00947859">
        <w:t xml:space="preserve"> </w:t>
      </w:r>
      <w:r w:rsidR="00947859">
        <w:rPr>
          <w:i/>
          <w:iCs/>
        </w:rPr>
        <w:t>Inquiry into Anti-Vilification Protections</w:t>
      </w:r>
      <w:r w:rsidR="002E2879">
        <w:rPr>
          <w:i/>
          <w:iCs/>
        </w:rPr>
        <w:t>.</w:t>
      </w:r>
      <w:r w:rsidR="00A71C88">
        <w:rPr>
          <w:rStyle w:val="FootnoteReference"/>
        </w:rPr>
        <w:footnoteReference w:id="19"/>
      </w:r>
      <w:r w:rsidR="00396EA6">
        <w:rPr>
          <w:i/>
          <w:iCs/>
        </w:rPr>
        <w:t xml:space="preserve"> </w:t>
      </w:r>
      <w:r w:rsidR="00450B92">
        <w:t xml:space="preserve">We would support a provision which </w:t>
      </w:r>
      <w:r w:rsidR="0010175C">
        <w:t xml:space="preserve">makes unlawful public </w:t>
      </w:r>
      <w:r w:rsidR="00A029F9">
        <w:t xml:space="preserve">conduct on the basis of a protected attribute that humiliates or intimidates </w:t>
      </w:r>
      <w:r w:rsidR="0010175C">
        <w:t>a person or group of persons</w:t>
      </w:r>
      <w:r w:rsidR="00A029F9">
        <w:t xml:space="preserve">, or </w:t>
      </w:r>
      <w:r w:rsidR="0010175C">
        <w:t xml:space="preserve">which </w:t>
      </w:r>
      <w:r w:rsidR="00A029F9">
        <w:t>has profound and serious effects on the</w:t>
      </w:r>
      <w:r w:rsidR="003C2F0B">
        <w:t>ir</w:t>
      </w:r>
      <w:r w:rsidR="00A029F9">
        <w:t xml:space="preserve"> dignity or sense of safety, and which is not done reasonably and in good faith for a legitimate purpose.</w:t>
      </w:r>
      <w:r w:rsidR="00927AE5">
        <w:t xml:space="preserve">  </w:t>
      </w:r>
      <w:r w:rsidR="00602787">
        <w:t xml:space="preserve">The formulation proposed by the Victorian Parliamentary Legal and Social Issues Committee </w:t>
      </w:r>
      <w:r w:rsidR="002E2879">
        <w:t xml:space="preserve">provides a good way forward, which builds on the strengths of </w:t>
      </w:r>
      <w:r w:rsidR="00F82863">
        <w:t>existing Commonwealth and Tasmanian laws</w:t>
      </w:r>
      <w:r w:rsidR="00D15BF8">
        <w:t>.</w:t>
      </w:r>
    </w:p>
    <w:p w14:paraId="7B568A8B" w14:textId="5FEDE518" w:rsidR="00473819" w:rsidRDefault="00473819" w:rsidP="009D5589">
      <w:pPr>
        <w:pStyle w:val="Intro"/>
      </w:pPr>
      <w:r>
        <w:t xml:space="preserve">Introduce an aggravating sentencing factor when crimes </w:t>
      </w:r>
      <w:r w:rsidR="00D92008">
        <w:t>involve</w:t>
      </w:r>
      <w:r>
        <w:t xml:space="preserve"> </w:t>
      </w:r>
      <w:r w:rsidR="00D92008">
        <w:t>prejudice</w:t>
      </w:r>
    </w:p>
    <w:p w14:paraId="7770084F" w14:textId="38402373" w:rsidR="004B79AE" w:rsidRDefault="009560D7" w:rsidP="009560D7">
      <w:r>
        <w:t xml:space="preserve">Many </w:t>
      </w:r>
      <w:r w:rsidR="00AE1348">
        <w:t>common</w:t>
      </w:r>
      <w:r w:rsidR="00AF4EF9">
        <w:t>ly committed</w:t>
      </w:r>
      <w:r w:rsidR="00AE1348">
        <w:t xml:space="preserve"> </w:t>
      </w:r>
      <w:r>
        <w:t>crimes, such as assaults</w:t>
      </w:r>
      <w:r w:rsidR="00777135">
        <w:t xml:space="preserve"> or</w:t>
      </w:r>
      <w:r>
        <w:t xml:space="preserve"> </w:t>
      </w:r>
      <w:r w:rsidR="00777135">
        <w:t>damage to property, can be motivated by prejudice</w:t>
      </w:r>
      <w:r w:rsidR="000F2008">
        <w:t xml:space="preserve">, and that motivation can make a real difference </w:t>
      </w:r>
      <w:r w:rsidR="007655AD">
        <w:t xml:space="preserve">in </w:t>
      </w:r>
      <w:r w:rsidR="001C7D71">
        <w:t>the impact it has</w:t>
      </w:r>
      <w:r w:rsidR="007655AD">
        <w:t xml:space="preserve"> </w:t>
      </w:r>
      <w:r w:rsidR="001C7D71">
        <w:t xml:space="preserve">on </w:t>
      </w:r>
      <w:r w:rsidR="007655AD">
        <w:t xml:space="preserve">victims </w:t>
      </w:r>
      <w:r w:rsidR="00EC57CC">
        <w:t>long after the crime has been committed.</w:t>
      </w:r>
    </w:p>
    <w:p w14:paraId="5E9CCA58" w14:textId="6656164B" w:rsidR="00FB673A" w:rsidRDefault="00EC57CC" w:rsidP="009560D7">
      <w:r>
        <w:t>For example, i</w:t>
      </w:r>
      <w:r w:rsidR="00260A5B">
        <w:t>t is a very different thing for someone to have their car or fence vandalised</w:t>
      </w:r>
      <w:r w:rsidR="00420764">
        <w:t xml:space="preserve"> with </w:t>
      </w:r>
      <w:r w:rsidR="00337671">
        <w:t xml:space="preserve">a meaningless slogan, than it is for </w:t>
      </w:r>
      <w:r w:rsidR="00434D8D">
        <w:t>someone</w:t>
      </w:r>
      <w:r w:rsidR="00337671">
        <w:t xml:space="preserve"> to have their car or fence </w:t>
      </w:r>
      <w:r w:rsidR="00F85C17">
        <w:t>vandalised</w:t>
      </w:r>
      <w:r w:rsidR="00337671">
        <w:t xml:space="preserve"> with words </w:t>
      </w:r>
      <w:r w:rsidR="008E5FA8">
        <w:t>that express condemn</w:t>
      </w:r>
      <w:r w:rsidR="00313132">
        <w:t xml:space="preserve">ation or disgust about </w:t>
      </w:r>
      <w:r w:rsidR="00BC32F4">
        <w:t>their sexual orientation, gender identity or sex characteristics</w:t>
      </w:r>
      <w:r w:rsidR="008E5FA8">
        <w:t>.</w:t>
      </w:r>
      <w:r w:rsidR="00F85C17">
        <w:t xml:space="preserve">  The first </w:t>
      </w:r>
      <w:r w:rsidR="00434D8D">
        <w:t>act of vandalism</w:t>
      </w:r>
      <w:r w:rsidR="00F85C17">
        <w:t xml:space="preserve"> results in economic loss</w:t>
      </w:r>
      <w:r w:rsidR="00434D8D">
        <w:t>.  T</w:t>
      </w:r>
      <w:r w:rsidR="00F85C17">
        <w:t xml:space="preserve">he second </w:t>
      </w:r>
      <w:r w:rsidR="00A129AF">
        <w:t xml:space="preserve">act </w:t>
      </w:r>
      <w:r w:rsidR="00F85C17">
        <w:t xml:space="preserve">results in both economic loss and the loss of safety, </w:t>
      </w:r>
      <w:proofErr w:type="gramStart"/>
      <w:r w:rsidR="00F85C17">
        <w:t>dignity</w:t>
      </w:r>
      <w:proofErr w:type="gramEnd"/>
      <w:r w:rsidR="00F85C17">
        <w:t xml:space="preserve"> and sense of belonging </w:t>
      </w:r>
      <w:r w:rsidR="00A129AF">
        <w:t xml:space="preserve">which may have </w:t>
      </w:r>
      <w:r w:rsidR="00FB673A">
        <w:t xml:space="preserve">once </w:t>
      </w:r>
      <w:r w:rsidR="00A129AF">
        <w:t>been felt by the victim of that crime</w:t>
      </w:r>
      <w:r w:rsidR="00F85C17">
        <w:t>.</w:t>
      </w:r>
      <w:r w:rsidR="002155EA">
        <w:t xml:space="preserve">  </w:t>
      </w:r>
    </w:p>
    <w:p w14:paraId="28D2F27A" w14:textId="77777777" w:rsidR="00FF20A0" w:rsidRDefault="00502918" w:rsidP="009560D7">
      <w:r>
        <w:lastRenderedPageBreak/>
        <w:t>Similarly, i</w:t>
      </w:r>
      <w:r w:rsidR="002155EA">
        <w:t xml:space="preserve">t is a very different thing for someone to </w:t>
      </w:r>
      <w:r w:rsidR="00E34380">
        <w:t xml:space="preserve">drive their car dangerously, than it is for someone </w:t>
      </w:r>
      <w:r w:rsidR="00B61080">
        <w:t>to do</w:t>
      </w:r>
      <w:r w:rsidR="00313132">
        <w:t xml:space="preserve"> so</w:t>
      </w:r>
      <w:r w:rsidR="00B61080">
        <w:t xml:space="preserve"> </w:t>
      </w:r>
      <w:r>
        <w:t xml:space="preserve">at a group of people </w:t>
      </w:r>
      <w:r w:rsidR="00B61080">
        <w:t xml:space="preserve">with the intention of </w:t>
      </w:r>
      <w:r w:rsidR="00B629BE">
        <w:t>harming</w:t>
      </w:r>
      <w:r>
        <w:t xml:space="preserve"> them </w:t>
      </w:r>
      <w:r w:rsidR="00B61080">
        <w:t>because of who they are.</w:t>
      </w:r>
      <w:r w:rsidR="00B629BE">
        <w:t xml:space="preserve">  </w:t>
      </w:r>
      <w:r w:rsidR="00FB673A">
        <w:t xml:space="preserve">Both acts are deplorable, but the latter causes additional harms for victims who know they were specifically targeted because of who they are.  </w:t>
      </w:r>
      <w:r w:rsidR="00B629BE">
        <w:t xml:space="preserve">These prejudice-motivated aspects </w:t>
      </w:r>
      <w:r w:rsidR="00FF20A0">
        <w:t xml:space="preserve">of a crime </w:t>
      </w:r>
      <w:r w:rsidR="006835AA">
        <w:t xml:space="preserve">mean that victims </w:t>
      </w:r>
      <w:r w:rsidR="00FF20A0">
        <w:t>of hate crimes can experience</w:t>
      </w:r>
      <w:r w:rsidR="00AE1348">
        <w:t xml:space="preserve"> long lasting trauma</w:t>
      </w:r>
      <w:r w:rsidR="00AF4EF9">
        <w:t xml:space="preserve"> beyond the economic or physical effects of a crime</w:t>
      </w:r>
      <w:r w:rsidR="004B79AE">
        <w:t>.</w:t>
      </w:r>
    </w:p>
    <w:p w14:paraId="2344B8EC" w14:textId="7418E24D" w:rsidR="009560D7" w:rsidRDefault="00FF20A0" w:rsidP="009560D7">
      <w:r>
        <w:t xml:space="preserve">NSW, </w:t>
      </w:r>
      <w:proofErr w:type="gramStart"/>
      <w:r>
        <w:t>Victoria</w:t>
      </w:r>
      <w:proofErr w:type="gramEnd"/>
      <w:r>
        <w:t xml:space="preserve"> and the Northern Territory recognise these harms </w:t>
      </w:r>
      <w:r w:rsidR="00BC5859">
        <w:t>in their sentencing laws.  They require courts to consider</w:t>
      </w:r>
      <w:r w:rsidR="00CC4060">
        <w:t xml:space="preserve"> –</w:t>
      </w:r>
      <w:r w:rsidR="0091017B">
        <w:t xml:space="preserve"> </w:t>
      </w:r>
      <w:r w:rsidR="000829D5">
        <w:t>often</w:t>
      </w:r>
      <w:r w:rsidR="00CC4060">
        <w:t xml:space="preserve"> </w:t>
      </w:r>
      <w:r w:rsidR="000829D5">
        <w:t xml:space="preserve">as an aggravating factor </w:t>
      </w:r>
      <w:r w:rsidR="0091017B">
        <w:t>when imposing sentences</w:t>
      </w:r>
      <w:r w:rsidR="00CC4060">
        <w:t xml:space="preserve"> –</w:t>
      </w:r>
      <w:r w:rsidR="0091017B">
        <w:t xml:space="preserve"> </w:t>
      </w:r>
      <w:r w:rsidR="00CC4060">
        <w:t>whether</w:t>
      </w:r>
      <w:r w:rsidR="00BC5859">
        <w:t xml:space="preserve"> an offence was motivated (whether wholly or partly) by hatred for or prejudice against a group of people </w:t>
      </w:r>
      <w:r w:rsidR="00832C29">
        <w:t>that the offender believed the victim belonged.</w:t>
      </w:r>
      <w:r w:rsidR="0091017B">
        <w:rPr>
          <w:rStyle w:val="FootnoteReference"/>
        </w:rPr>
        <w:footnoteReference w:id="20"/>
      </w:r>
      <w:r w:rsidR="008D0547">
        <w:t xml:space="preserve"> </w:t>
      </w:r>
    </w:p>
    <w:p w14:paraId="1D0AB49D" w14:textId="38092F23" w:rsidR="00770E34" w:rsidRDefault="00832C29" w:rsidP="00BE6801">
      <w:r>
        <w:t xml:space="preserve">We would support </w:t>
      </w:r>
      <w:r w:rsidR="008D5926">
        <w:t>adding</w:t>
      </w:r>
      <w:r>
        <w:t xml:space="preserve"> a sentencing consideration to section 9 of the </w:t>
      </w:r>
      <w:r w:rsidR="00BE6801">
        <w:rPr>
          <w:i/>
          <w:iCs/>
        </w:rPr>
        <w:t xml:space="preserve">Penalties and Sentences Act 1992 </w:t>
      </w:r>
      <w:r w:rsidR="00BE6801">
        <w:t xml:space="preserve">(Qld) that requires courts to consider </w:t>
      </w:r>
      <w:r w:rsidR="0056579C">
        <w:t>w</w:t>
      </w:r>
      <w:r w:rsidR="00770E34" w:rsidRPr="0056579C">
        <w:t xml:space="preserve">hether the offence was motivated (wholly or partly) by hatred for or prejudice against a group of people to which the offender believed the victim belonged (such as people of a particular race, religion, sex, sexual orientation, gender identity, age, or </w:t>
      </w:r>
      <w:r w:rsidR="00773C07">
        <w:t xml:space="preserve">people </w:t>
      </w:r>
      <w:r w:rsidR="00E25850" w:rsidRPr="0056579C">
        <w:t xml:space="preserve">with variations of sex characteristics </w:t>
      </w:r>
      <w:r w:rsidR="00770E34" w:rsidRPr="0056579C">
        <w:t>or a particular disability)</w:t>
      </w:r>
      <w:r w:rsidR="0056579C">
        <w:t>.</w:t>
      </w:r>
      <w:r w:rsidR="00CC4060">
        <w:t xml:space="preserve">  This would ensure </w:t>
      </w:r>
      <w:r w:rsidR="00D32FF4">
        <w:t xml:space="preserve">that </w:t>
      </w:r>
      <w:r w:rsidR="00CC4060">
        <w:t xml:space="preserve">whatever the offence, prejudice-motivated conduct is recognised as </w:t>
      </w:r>
      <w:r w:rsidR="00D32FF4">
        <w:t>part of appropriate sentencing.</w:t>
      </w:r>
    </w:p>
    <w:p w14:paraId="59BD1E65" w14:textId="219C1175" w:rsidR="009D5589" w:rsidRDefault="009D5589" w:rsidP="009D5589">
      <w:pPr>
        <w:pStyle w:val="Intro"/>
      </w:pPr>
      <w:r>
        <w:t xml:space="preserve">Improve protections against vilification </w:t>
      </w:r>
    </w:p>
    <w:p w14:paraId="4744011A" w14:textId="3DA3AC33" w:rsidR="009D5589" w:rsidRDefault="009D5589" w:rsidP="009D5589">
      <w:r>
        <w:t>Section 124A of the Act prohibits public acts which incite hatred towards, serious contempt for, or severe ridicule of, a person or group based on the protected grounds.</w:t>
      </w:r>
      <w:r w:rsidR="008403FF">
        <w:t xml:space="preserve">  Section 131A </w:t>
      </w:r>
      <w:r w:rsidR="00AE574E">
        <w:t>goes further in criminalising such conduct that also includes threats of physical harm towards</w:t>
      </w:r>
      <w:r w:rsidR="00B45DEF">
        <w:t xml:space="preserve"> other</w:t>
      </w:r>
      <w:r w:rsidR="00AE574E">
        <w:t xml:space="preserve"> people or property</w:t>
      </w:r>
      <w:r w:rsidR="001F2E22">
        <w:t xml:space="preserve">, or inciting others to </w:t>
      </w:r>
      <w:r w:rsidR="00DE2031">
        <w:t xml:space="preserve">threaten physical harm to </w:t>
      </w:r>
      <w:r w:rsidR="00B45DEF">
        <w:t>other people or property</w:t>
      </w:r>
      <w:r w:rsidR="00AE574E">
        <w:t>.</w:t>
      </w:r>
    </w:p>
    <w:p w14:paraId="5410950B" w14:textId="4CCC49FB" w:rsidR="009D5589" w:rsidRDefault="001F2E22" w:rsidP="00B45DEF">
      <w:pPr>
        <w:keepNext/>
      </w:pPr>
      <w:r>
        <w:t>We would support</w:t>
      </w:r>
      <w:r w:rsidR="009D5589">
        <w:t>:</w:t>
      </w:r>
    </w:p>
    <w:p w14:paraId="70050208" w14:textId="7538419E" w:rsidR="009D5589" w:rsidRDefault="00173EE5" w:rsidP="001F2E22">
      <w:pPr>
        <w:pStyle w:val="ListParagraph"/>
        <w:numPr>
          <w:ilvl w:val="0"/>
          <w:numId w:val="18"/>
        </w:numPr>
        <w:ind w:left="714" w:hanging="357"/>
        <w:contextualSpacing w:val="0"/>
      </w:pPr>
      <w:r>
        <w:t>revising the</w:t>
      </w:r>
      <w:r w:rsidR="009D5589">
        <w:t xml:space="preserve"> definition </w:t>
      </w:r>
      <w:r w:rsidR="00473819">
        <w:t>of</w:t>
      </w:r>
      <w:r w:rsidR="009D5589">
        <w:t xml:space="preserve"> a </w:t>
      </w:r>
      <w:r w:rsidR="007F7AB7">
        <w:t>‘</w:t>
      </w:r>
      <w:r w:rsidR="009D5589">
        <w:t>public act</w:t>
      </w:r>
      <w:r w:rsidR="007F7AB7">
        <w:t>’, consistently with the definition in section 93</w:t>
      </w:r>
      <w:proofErr w:type="gramStart"/>
      <w:r w:rsidR="007F7AB7">
        <w:t>Z(</w:t>
      </w:r>
      <w:proofErr w:type="gramEnd"/>
      <w:r w:rsidR="007F7AB7">
        <w:t xml:space="preserve">5) of the </w:t>
      </w:r>
      <w:r w:rsidR="007F7AB7">
        <w:rPr>
          <w:i/>
          <w:iCs/>
        </w:rPr>
        <w:t xml:space="preserve">Crimes Act 1900 </w:t>
      </w:r>
      <w:r w:rsidR="007F7AB7">
        <w:t>(NSW),</w:t>
      </w:r>
      <w:r w:rsidR="009D5589">
        <w:t xml:space="preserve"> to make </w:t>
      </w:r>
      <w:r w:rsidR="00473819">
        <w:t>it clear that it extends to social media (as proposed by the LGBTI Legal Service)</w:t>
      </w:r>
      <w:r>
        <w:t>;</w:t>
      </w:r>
    </w:p>
    <w:p w14:paraId="2FB00AF8" w14:textId="55F7DB0E" w:rsidR="00473819" w:rsidRPr="00F323C3" w:rsidRDefault="00927005" w:rsidP="009D5589">
      <w:pPr>
        <w:pStyle w:val="ListParagraph"/>
        <w:numPr>
          <w:ilvl w:val="0"/>
          <w:numId w:val="18"/>
        </w:numPr>
      </w:pPr>
      <w:r>
        <w:t>improving</w:t>
      </w:r>
      <w:r w:rsidR="00552E7A">
        <w:t xml:space="preserve"> the </w:t>
      </w:r>
      <w:r w:rsidR="00FE67CE">
        <w:t xml:space="preserve">civil and criminal </w:t>
      </w:r>
      <w:r w:rsidR="00552E7A">
        <w:t>test</w:t>
      </w:r>
      <w:r w:rsidR="00FE67CE">
        <w:t>s</w:t>
      </w:r>
      <w:r w:rsidR="00552E7A">
        <w:t xml:space="preserve"> for vilification, </w:t>
      </w:r>
      <w:r>
        <w:t xml:space="preserve">to clarify that </w:t>
      </w:r>
      <w:r w:rsidR="00552E7A">
        <w:t xml:space="preserve">it does not require </w:t>
      </w:r>
      <w:r w:rsidR="00A6616A">
        <w:t xml:space="preserve">proof of </w:t>
      </w:r>
      <w:r w:rsidR="00552E7A">
        <w:t xml:space="preserve">actual </w:t>
      </w:r>
      <w:r w:rsidR="00A6616A">
        <w:t xml:space="preserve">incitement or intention </w:t>
      </w:r>
      <w:r>
        <w:t>and</w:t>
      </w:r>
      <w:r w:rsidR="00A6616A">
        <w:t xml:space="preserve"> is satisfied </w:t>
      </w:r>
      <w:r w:rsidR="00E6262B">
        <w:t xml:space="preserve">by public conduct which is </w:t>
      </w:r>
      <w:r w:rsidR="00E6262B" w:rsidRPr="00927005">
        <w:rPr>
          <w:i/>
          <w:iCs/>
        </w:rPr>
        <w:t>‘</w:t>
      </w:r>
      <w:r w:rsidR="00E6262B" w:rsidRPr="00927005">
        <w:rPr>
          <w:i/>
          <w:iCs/>
          <w:u w:val="single"/>
        </w:rPr>
        <w:t>likely to</w:t>
      </w:r>
      <w:r w:rsidR="00E6262B" w:rsidRPr="00927005">
        <w:rPr>
          <w:i/>
          <w:iCs/>
        </w:rPr>
        <w:t xml:space="preserve"> incite hatred towards,</w:t>
      </w:r>
      <w:r w:rsidR="00A61EDE" w:rsidRPr="00927005">
        <w:rPr>
          <w:i/>
          <w:iCs/>
        </w:rPr>
        <w:t xml:space="preserve"> </w:t>
      </w:r>
      <w:r w:rsidR="00A61EDE" w:rsidRPr="00927005">
        <w:rPr>
          <w:i/>
          <w:iCs/>
          <w:u w:val="single"/>
        </w:rPr>
        <w:t>revulsion of,</w:t>
      </w:r>
      <w:r w:rsidR="00A61EDE" w:rsidRPr="00927005">
        <w:rPr>
          <w:i/>
          <w:iCs/>
        </w:rPr>
        <w:t xml:space="preserve"> serious contempt for, or severe ridicule of</w:t>
      </w:r>
      <w:r w:rsidRPr="00927005">
        <w:rPr>
          <w:i/>
          <w:iCs/>
        </w:rPr>
        <w:t>’</w:t>
      </w:r>
      <w:r w:rsidR="00BF132E">
        <w:rPr>
          <w:i/>
          <w:iCs/>
        </w:rPr>
        <w:t xml:space="preserve">, </w:t>
      </w:r>
      <w:r w:rsidR="00BF132E">
        <w:t xml:space="preserve">as recently recommended by the Victorian </w:t>
      </w:r>
      <w:r w:rsidR="006B5B44">
        <w:t>Parliamentary Legal and Social Issues Committee</w:t>
      </w:r>
      <w:r w:rsidR="00845A58">
        <w:t>.</w:t>
      </w:r>
      <w:r w:rsidR="00845A58">
        <w:rPr>
          <w:rStyle w:val="FootnoteReference"/>
        </w:rPr>
        <w:footnoteReference w:id="21"/>
      </w:r>
    </w:p>
    <w:p w14:paraId="048CA248" w14:textId="4747A461" w:rsidR="00EF3B50" w:rsidRDefault="00E44217" w:rsidP="00E44217">
      <w:pPr>
        <w:pStyle w:val="Intro"/>
      </w:pPr>
      <w:r>
        <w:t>Improve processes for enforcement</w:t>
      </w:r>
    </w:p>
    <w:p w14:paraId="51549F54" w14:textId="70224CE8" w:rsidR="004C1039" w:rsidRDefault="00E44217" w:rsidP="00E44217">
      <w:r w:rsidRPr="00803E71">
        <w:t xml:space="preserve">Our experience of anti-vilification protections across the country is that they have rarely been utilised, and where they have been utilised, individuals who have brought them have not always understood the legal, </w:t>
      </w:r>
      <w:proofErr w:type="gramStart"/>
      <w:r w:rsidRPr="00803E71">
        <w:t>financial</w:t>
      </w:r>
      <w:proofErr w:type="gramEnd"/>
      <w:r w:rsidRPr="00803E71">
        <w:t xml:space="preserve"> and other costs involved in bringing such claims.  This is partly because the procedure for bringing such complaints relies principally on individuals who are not always legally represented or well-funded, and who may not have had the benefit of legal advice regarding the extent of protections these laws provide and the costs implications of losing their claim.  </w:t>
      </w:r>
      <w:r w:rsidR="009F107E" w:rsidRPr="00803E71">
        <w:t>I</w:t>
      </w:r>
      <w:r w:rsidR="004C1039" w:rsidRPr="00803E71">
        <w:t xml:space="preserve">n addition to individual-led actions, </w:t>
      </w:r>
      <w:r w:rsidR="009F107E" w:rsidRPr="00803E71">
        <w:t xml:space="preserve">we would support considering additional functions and powers that enabled the Victorian Human Rights Commission to investigate and </w:t>
      </w:r>
      <w:r w:rsidR="00803E71" w:rsidRPr="00803E71">
        <w:t xml:space="preserve">initiate its own </w:t>
      </w:r>
      <w:r w:rsidR="00FD0775">
        <w:t xml:space="preserve">civil proceedings against people who </w:t>
      </w:r>
      <w:proofErr w:type="spellStart"/>
      <w:r w:rsidR="00FD0775">
        <w:t>breac</w:t>
      </w:r>
      <w:r w:rsidR="00C2466A">
        <w:t>ed</w:t>
      </w:r>
      <w:r w:rsidR="00FD0775">
        <w:t>h</w:t>
      </w:r>
      <w:proofErr w:type="spellEnd"/>
      <w:r w:rsidR="00FD0775">
        <w:t xml:space="preserve"> the civil </w:t>
      </w:r>
      <w:r w:rsidR="00803E71" w:rsidRPr="00803E71">
        <w:t>vilification</w:t>
      </w:r>
      <w:r w:rsidR="00FD0775">
        <w:t xml:space="preserve"> and proposed civil hate-based conduct provisions</w:t>
      </w:r>
      <w:r w:rsidR="00803E71" w:rsidRPr="00803E71">
        <w:t>.</w:t>
      </w:r>
      <w:r w:rsidR="009F107E">
        <w:t xml:space="preserve"> </w:t>
      </w:r>
    </w:p>
    <w:p w14:paraId="2279F13C" w14:textId="77777777" w:rsidR="00E44217" w:rsidRDefault="00E44217" w:rsidP="00E44217">
      <w:pPr>
        <w:pStyle w:val="Intro"/>
      </w:pPr>
    </w:p>
    <w:tbl>
      <w:tblPr>
        <w:tblStyle w:val="TableGridLight"/>
        <w:tblW w:w="0" w:type="auto"/>
        <w:tblBorders>
          <w:top w:val="single" w:sz="12" w:space="0" w:color="B41EAA" w:themeColor="accent6"/>
          <w:left w:val="single" w:sz="12" w:space="0" w:color="B41EAA" w:themeColor="accent6"/>
          <w:bottom w:val="single" w:sz="12" w:space="0" w:color="B41EAA" w:themeColor="accent6"/>
          <w:right w:val="single" w:sz="12" w:space="0" w:color="B41EAA" w:themeColor="accent6"/>
          <w:insideH w:val="single" w:sz="12" w:space="0" w:color="B41EAA" w:themeColor="accent6"/>
          <w:insideV w:val="single" w:sz="12" w:space="0" w:color="B41EAA" w:themeColor="accent6"/>
        </w:tblBorders>
        <w:tblCellMar>
          <w:left w:w="340" w:type="dxa"/>
          <w:right w:w="340" w:type="dxa"/>
        </w:tblCellMar>
        <w:tblLook w:val="0600" w:firstRow="0" w:lastRow="0" w:firstColumn="0" w:lastColumn="0" w:noHBand="1" w:noVBand="1"/>
      </w:tblPr>
      <w:tblGrid>
        <w:gridCol w:w="8871"/>
      </w:tblGrid>
      <w:tr w:rsidR="00212547" w:rsidRPr="00AD47D6" w14:paraId="37493FFE" w14:textId="77777777" w:rsidTr="005E7FEA">
        <w:tc>
          <w:tcPr>
            <w:tcW w:w="8871" w:type="dxa"/>
            <w:tcMar>
              <w:bottom w:w="142" w:type="dxa"/>
            </w:tcMar>
          </w:tcPr>
          <w:p w14:paraId="0BB72CB8" w14:textId="730F32D3" w:rsidR="00212547" w:rsidRPr="006B07D6" w:rsidRDefault="00212547" w:rsidP="005E7FEA">
            <w:pPr>
              <w:pStyle w:val="Heading3"/>
              <w:outlineLvl w:val="2"/>
            </w:pPr>
            <w:r w:rsidRPr="006B07D6">
              <w:lastRenderedPageBreak/>
              <w:t>recommendations</w:t>
            </w:r>
          </w:p>
          <w:p w14:paraId="52A3F2B3" w14:textId="3A48A58F" w:rsidR="00212547" w:rsidRPr="008158E8" w:rsidRDefault="00212547" w:rsidP="00973062">
            <w:pPr>
              <w:pStyle w:val="ListParagraph"/>
              <w:numPr>
                <w:ilvl w:val="0"/>
                <w:numId w:val="14"/>
              </w:numPr>
              <w:contextualSpacing w:val="0"/>
            </w:pPr>
            <w:r w:rsidRPr="008158E8">
              <w:t xml:space="preserve">Expand the list of protected attributes in anti-vilification and anti-hate laws to include </w:t>
            </w:r>
            <w:r w:rsidR="00C2466A">
              <w:t xml:space="preserve">at least </w:t>
            </w:r>
            <w:r w:rsidR="00C74D47" w:rsidRPr="008158E8">
              <w:t xml:space="preserve">race, religion, </w:t>
            </w:r>
            <w:r w:rsidRPr="008158E8">
              <w:t xml:space="preserve">gender, gender identity, </w:t>
            </w:r>
            <w:r w:rsidR="00C74D47" w:rsidRPr="008158E8">
              <w:t xml:space="preserve">sexual orientation, </w:t>
            </w:r>
            <w:r w:rsidRPr="008158E8">
              <w:t xml:space="preserve">sex characteristics, HIV/AIDS </w:t>
            </w:r>
            <w:proofErr w:type="gramStart"/>
            <w:r w:rsidRPr="008158E8">
              <w:t>status</w:t>
            </w:r>
            <w:proofErr w:type="gramEnd"/>
            <w:r w:rsidRPr="008158E8">
              <w:t xml:space="preserve"> and disability.  </w:t>
            </w:r>
          </w:p>
          <w:p w14:paraId="2B227B96" w14:textId="6D86ECE2" w:rsidR="00C74D47" w:rsidRPr="008158E8" w:rsidRDefault="00C74D47" w:rsidP="00973062">
            <w:pPr>
              <w:pStyle w:val="ListParagraph"/>
              <w:numPr>
                <w:ilvl w:val="0"/>
                <w:numId w:val="14"/>
              </w:numPr>
              <w:contextualSpacing w:val="0"/>
            </w:pPr>
            <w:r w:rsidRPr="008158E8">
              <w:t xml:space="preserve">Define ‘sexuality’ </w:t>
            </w:r>
            <w:r w:rsidR="00DE6A51">
              <w:t xml:space="preserve">in the Act </w:t>
            </w:r>
            <w:r w:rsidRPr="008158E8">
              <w:t>consistently with definitions in ACT</w:t>
            </w:r>
            <w:r w:rsidR="00804B99">
              <w:t>, Tasmanian or</w:t>
            </w:r>
            <w:r w:rsidRPr="008158E8">
              <w:t xml:space="preserve"> Victorian laws</w:t>
            </w:r>
            <w:r w:rsidR="008158E8">
              <w:t xml:space="preserve">, which </w:t>
            </w:r>
            <w:r w:rsidR="00804B99">
              <w:t>are inclusive in protecting people of different sexual orientations</w:t>
            </w:r>
            <w:r w:rsidR="00681BA5">
              <w:t>.</w:t>
            </w:r>
          </w:p>
          <w:p w14:paraId="4C28F97F" w14:textId="0168AC9F" w:rsidR="00C74D47" w:rsidRDefault="00C74D47" w:rsidP="00973062">
            <w:pPr>
              <w:pStyle w:val="ListParagraph"/>
              <w:numPr>
                <w:ilvl w:val="0"/>
                <w:numId w:val="14"/>
              </w:numPr>
              <w:contextualSpacing w:val="0"/>
            </w:pPr>
            <w:r w:rsidRPr="008158E8">
              <w:t xml:space="preserve">Define </w:t>
            </w:r>
            <w:proofErr w:type="spellStart"/>
            <w:r w:rsidRPr="008158E8">
              <w:t>‘gender</w:t>
            </w:r>
            <w:proofErr w:type="spellEnd"/>
            <w:r w:rsidRPr="008158E8">
              <w:t xml:space="preserve"> identity’ </w:t>
            </w:r>
            <w:r w:rsidR="00DE6A51">
              <w:t xml:space="preserve">in the Act </w:t>
            </w:r>
            <w:r w:rsidR="00681BA5">
              <w:t xml:space="preserve">consistently with definitions in </w:t>
            </w:r>
            <w:r w:rsidR="00804B99">
              <w:t>ACT, Victorian, Tasmania</w:t>
            </w:r>
            <w:r w:rsidR="00E76393">
              <w:t>n</w:t>
            </w:r>
            <w:r w:rsidR="00804B99">
              <w:t>, South Australia</w:t>
            </w:r>
            <w:r w:rsidR="00E76393">
              <w:t>n</w:t>
            </w:r>
            <w:r w:rsidR="00804B99">
              <w:t xml:space="preserve"> and Commonwealth </w:t>
            </w:r>
            <w:r w:rsidR="00E76393">
              <w:t xml:space="preserve">laws, </w:t>
            </w:r>
            <w:r w:rsidR="00804B99">
              <w:t xml:space="preserve">to include gender-related expression and to clarify that people do not need to have undergone medical treatment or update their legal gender </w:t>
            </w:r>
            <w:proofErr w:type="gramStart"/>
            <w:r w:rsidR="00804B99">
              <w:t>in order to</w:t>
            </w:r>
            <w:proofErr w:type="gramEnd"/>
            <w:r w:rsidR="00804B99">
              <w:t xml:space="preserve"> be protected</w:t>
            </w:r>
            <w:r w:rsidR="00E76393">
              <w:t>.</w:t>
            </w:r>
          </w:p>
          <w:p w14:paraId="5C5E890C" w14:textId="5154DAC7" w:rsidR="00E76393" w:rsidRDefault="00E76393" w:rsidP="00973062">
            <w:pPr>
              <w:pStyle w:val="ListParagraph"/>
              <w:numPr>
                <w:ilvl w:val="0"/>
                <w:numId w:val="14"/>
              </w:numPr>
              <w:contextualSpacing w:val="0"/>
            </w:pPr>
            <w:r>
              <w:t>Introduce a new protection</w:t>
            </w:r>
            <w:r w:rsidR="00DE6A51">
              <w:t xml:space="preserve"> in the Act</w:t>
            </w:r>
            <w:r>
              <w:t xml:space="preserve"> </w:t>
            </w:r>
            <w:r w:rsidR="009E1BC5">
              <w:t xml:space="preserve">and define </w:t>
            </w:r>
            <w:r>
              <w:t>‘sex characteristics’</w:t>
            </w:r>
            <w:r w:rsidR="009E1BC5">
              <w:t xml:space="preserve"> </w:t>
            </w:r>
            <w:r>
              <w:t>consistent</w:t>
            </w:r>
            <w:r w:rsidR="009E1BC5">
              <w:t xml:space="preserve">ly with definitions in ACT, Victorian and Tasmanian </w:t>
            </w:r>
            <w:r w:rsidR="00492F11">
              <w:t xml:space="preserve">laws, ensuring protections for people with </w:t>
            </w:r>
            <w:r w:rsidR="001932DA">
              <w:t xml:space="preserve">innate </w:t>
            </w:r>
            <w:r w:rsidR="00492F11">
              <w:t>variations</w:t>
            </w:r>
            <w:r w:rsidR="001932DA">
              <w:t xml:space="preserve"> of sex characteristics</w:t>
            </w:r>
            <w:r w:rsidR="00492F11">
              <w:t>.</w:t>
            </w:r>
          </w:p>
          <w:p w14:paraId="4F02DF47" w14:textId="08775EA5" w:rsidR="00C63E10" w:rsidRDefault="00C63E10" w:rsidP="00973062">
            <w:pPr>
              <w:pStyle w:val="ListParagraph"/>
              <w:numPr>
                <w:ilvl w:val="0"/>
                <w:numId w:val="14"/>
              </w:numPr>
              <w:contextualSpacing w:val="0"/>
            </w:pPr>
            <w:r w:rsidRPr="00C63E10">
              <w:t>Enact new protections in the Act against hate-based conduct based on a harm-based civil test.  The provision should protect people who experience public conduct</w:t>
            </w:r>
            <w:r w:rsidR="001932DA">
              <w:t>,</w:t>
            </w:r>
            <w:r w:rsidRPr="00C63E10">
              <w:t xml:space="preserve"> </w:t>
            </w:r>
            <w:proofErr w:type="gramStart"/>
            <w:r w:rsidRPr="00C63E10">
              <w:t>on the basis of</w:t>
            </w:r>
            <w:proofErr w:type="gramEnd"/>
            <w:r w:rsidRPr="00C63E10">
              <w:t xml:space="preserve"> a protected attribute</w:t>
            </w:r>
            <w:r w:rsidR="001932DA">
              <w:t>,</w:t>
            </w:r>
            <w:r w:rsidRPr="00C63E10">
              <w:t xml:space="preserve"> that humiliates or intimidates them, or has profound and serious effects on their dignity or sense of safety, and which is not done reasonably and in good faith for a legitimate purpose.</w:t>
            </w:r>
          </w:p>
          <w:p w14:paraId="200A7E8D" w14:textId="02B15C74" w:rsidR="006B07D6" w:rsidRDefault="006B07D6" w:rsidP="00973062">
            <w:pPr>
              <w:pStyle w:val="ListParagraph"/>
              <w:numPr>
                <w:ilvl w:val="0"/>
                <w:numId w:val="14"/>
              </w:numPr>
              <w:contextualSpacing w:val="0"/>
            </w:pPr>
            <w:r>
              <w:t xml:space="preserve">Provide the Queensland Human Rights Commission with powers to launch civil proceedings </w:t>
            </w:r>
            <w:r w:rsidR="00420C04">
              <w:t>against people who breach the anti-vilification and proposed hate-based conduct protections.</w:t>
            </w:r>
          </w:p>
          <w:p w14:paraId="00BDD05A" w14:textId="5B6B2453" w:rsidR="00973062" w:rsidRDefault="00973062" w:rsidP="00973062">
            <w:pPr>
              <w:pStyle w:val="ListParagraph"/>
              <w:numPr>
                <w:ilvl w:val="0"/>
                <w:numId w:val="14"/>
              </w:numPr>
              <w:contextualSpacing w:val="0"/>
            </w:pPr>
            <w:r>
              <w:t>Revis</w:t>
            </w:r>
            <w:r w:rsidR="00360E8F">
              <w:t>e</w:t>
            </w:r>
            <w:r>
              <w:t xml:space="preserve"> the definition of a ‘public act’ in the Act, consistently with the definition in section 93</w:t>
            </w:r>
            <w:proofErr w:type="gramStart"/>
            <w:r>
              <w:t>Z(</w:t>
            </w:r>
            <w:proofErr w:type="gramEnd"/>
            <w:r>
              <w:t xml:space="preserve">5) of the </w:t>
            </w:r>
            <w:r>
              <w:rPr>
                <w:i/>
                <w:iCs/>
              </w:rPr>
              <w:t xml:space="preserve">Crimes Act 1900 </w:t>
            </w:r>
            <w:r>
              <w:t>(NSW), to make it clear that it extends to social media.</w:t>
            </w:r>
          </w:p>
          <w:p w14:paraId="1F069F34" w14:textId="77777777" w:rsidR="00360E8F" w:rsidRDefault="00973062" w:rsidP="00360E8F">
            <w:pPr>
              <w:pStyle w:val="ListParagraph"/>
              <w:numPr>
                <w:ilvl w:val="0"/>
                <w:numId w:val="14"/>
              </w:numPr>
              <w:ind w:left="714" w:hanging="357"/>
              <w:contextualSpacing w:val="0"/>
            </w:pPr>
            <w:r>
              <w:t>Improve the civil and criminal tests for vilification</w:t>
            </w:r>
            <w:r w:rsidR="00360E8F">
              <w:t xml:space="preserve"> in the Act</w:t>
            </w:r>
            <w:r>
              <w:t xml:space="preserve">, to clarify that it does not require proof of actual incitement or intention and is satisfied by public conduct which is </w:t>
            </w:r>
            <w:r w:rsidRPr="00927005">
              <w:rPr>
                <w:i/>
                <w:iCs/>
              </w:rPr>
              <w:t>‘</w:t>
            </w:r>
            <w:r w:rsidRPr="00927005">
              <w:rPr>
                <w:i/>
                <w:iCs/>
                <w:u w:val="single"/>
              </w:rPr>
              <w:t>likely to</w:t>
            </w:r>
            <w:r w:rsidRPr="00927005">
              <w:rPr>
                <w:i/>
                <w:iCs/>
              </w:rPr>
              <w:t xml:space="preserve"> incite hatred towards, </w:t>
            </w:r>
            <w:r w:rsidRPr="00927005">
              <w:rPr>
                <w:i/>
                <w:iCs/>
                <w:u w:val="single"/>
              </w:rPr>
              <w:t>revulsion of,</w:t>
            </w:r>
            <w:r w:rsidRPr="00927005">
              <w:rPr>
                <w:i/>
                <w:iCs/>
              </w:rPr>
              <w:t xml:space="preserve"> serious contempt for, or severe ridicule of’</w:t>
            </w:r>
            <w:r>
              <w:t>.</w:t>
            </w:r>
          </w:p>
          <w:p w14:paraId="0D3B4EC3" w14:textId="4333AC1A" w:rsidR="00360E8F" w:rsidRPr="00973062" w:rsidRDefault="00360E8F" w:rsidP="00360E8F">
            <w:pPr>
              <w:pStyle w:val="ListParagraph"/>
              <w:numPr>
                <w:ilvl w:val="0"/>
                <w:numId w:val="14"/>
              </w:numPr>
              <w:rPr>
                <w:rStyle w:val="PageNumber"/>
              </w:rPr>
            </w:pPr>
            <w:r>
              <w:t xml:space="preserve">Introduce a sentencing consideration into section 9 of the </w:t>
            </w:r>
            <w:r w:rsidRPr="00360E8F">
              <w:rPr>
                <w:i/>
                <w:iCs/>
              </w:rPr>
              <w:t xml:space="preserve">Penalties and Sentences Act 1992 </w:t>
            </w:r>
            <w:r>
              <w:t>(Qld) that requires courts to consider w</w:t>
            </w:r>
            <w:r w:rsidRPr="0056579C">
              <w:t xml:space="preserve">hether </w:t>
            </w:r>
            <w:r>
              <w:t>an</w:t>
            </w:r>
            <w:r w:rsidR="005B3E6B">
              <w:t>y</w:t>
            </w:r>
            <w:r w:rsidRPr="0056579C">
              <w:t xml:space="preserve"> offence was motivated (wholly or partly) by hatred for or prejudice against a group of people to which the offender believed the victim belonged (such as people of a particular race, religion, sex, sexual orientation, gender identity, age, or </w:t>
            </w:r>
            <w:r>
              <w:t xml:space="preserve">people </w:t>
            </w:r>
            <w:r w:rsidRPr="0056579C">
              <w:t>with variations of sex characteristics or a particular disability)</w:t>
            </w:r>
            <w:r>
              <w:t>.</w:t>
            </w:r>
          </w:p>
        </w:tc>
      </w:tr>
    </w:tbl>
    <w:p w14:paraId="188F3039" w14:textId="01E0CB47" w:rsidR="003A43B0" w:rsidRDefault="000E3298" w:rsidP="0031456C">
      <w:pPr>
        <w:pStyle w:val="Intro"/>
        <w:keepNext/>
      </w:pPr>
      <w:r>
        <w:t>Changing attitudes</w:t>
      </w:r>
    </w:p>
    <w:p w14:paraId="27E306FD" w14:textId="09F8E560" w:rsidR="000E3298" w:rsidRDefault="00212547" w:rsidP="0031456C">
      <w:pPr>
        <w:keepNext/>
      </w:pPr>
      <w:r>
        <w:t>R</w:t>
      </w:r>
      <w:r w:rsidR="000E3298">
        <w:t>emoving the threat of vilification and hate-based conduct requires changing attitudes, not merely redressing it</w:t>
      </w:r>
      <w:r>
        <w:t xml:space="preserve"> through legislation</w:t>
      </w:r>
      <w:r w:rsidR="000E3298">
        <w:t xml:space="preserve"> when it occurs.  To that end, we adopt the recommendations from the 2018 </w:t>
      </w:r>
      <w:r w:rsidR="000E3298">
        <w:rPr>
          <w:i/>
          <w:iCs/>
        </w:rPr>
        <w:t xml:space="preserve">End the Hate </w:t>
      </w:r>
      <w:r w:rsidR="000E3298">
        <w:t>report</w:t>
      </w:r>
      <w:r w:rsidR="00EC06BA">
        <w:t xml:space="preserve">, which </w:t>
      </w:r>
      <w:r>
        <w:t>include the following.</w:t>
      </w:r>
    </w:p>
    <w:tbl>
      <w:tblPr>
        <w:tblStyle w:val="TableGridLight"/>
        <w:tblW w:w="0" w:type="auto"/>
        <w:tblBorders>
          <w:top w:val="single" w:sz="12" w:space="0" w:color="B41EAA" w:themeColor="accent6"/>
          <w:left w:val="single" w:sz="12" w:space="0" w:color="B41EAA" w:themeColor="accent6"/>
          <w:bottom w:val="single" w:sz="12" w:space="0" w:color="B41EAA" w:themeColor="accent6"/>
          <w:right w:val="single" w:sz="12" w:space="0" w:color="B41EAA" w:themeColor="accent6"/>
          <w:insideH w:val="single" w:sz="12" w:space="0" w:color="B41EAA" w:themeColor="accent6"/>
          <w:insideV w:val="single" w:sz="12" w:space="0" w:color="B41EAA" w:themeColor="accent6"/>
        </w:tblBorders>
        <w:tblCellMar>
          <w:left w:w="340" w:type="dxa"/>
          <w:right w:w="340" w:type="dxa"/>
        </w:tblCellMar>
        <w:tblLook w:val="0600" w:firstRow="0" w:lastRow="0" w:firstColumn="0" w:lastColumn="0" w:noHBand="1" w:noVBand="1"/>
      </w:tblPr>
      <w:tblGrid>
        <w:gridCol w:w="8871"/>
      </w:tblGrid>
      <w:tr w:rsidR="00212547" w14:paraId="1051F580" w14:textId="77777777" w:rsidTr="005E7FEA">
        <w:tc>
          <w:tcPr>
            <w:tcW w:w="8871" w:type="dxa"/>
            <w:tcMar>
              <w:bottom w:w="142" w:type="dxa"/>
            </w:tcMar>
          </w:tcPr>
          <w:p w14:paraId="661B509A" w14:textId="6894AD3B" w:rsidR="00212547" w:rsidRDefault="00237FE8" w:rsidP="005E7FEA">
            <w:pPr>
              <w:pStyle w:val="Heading3"/>
              <w:outlineLvl w:val="2"/>
            </w:pPr>
            <w:r>
              <w:lastRenderedPageBreak/>
              <w:t xml:space="preserve">Further </w:t>
            </w:r>
            <w:r w:rsidR="00212547">
              <w:t>recommendations</w:t>
            </w:r>
          </w:p>
          <w:p w14:paraId="69015359" w14:textId="69851027" w:rsidR="00212547" w:rsidRDefault="00212547" w:rsidP="00C63E10">
            <w:pPr>
              <w:pStyle w:val="ListParagraph"/>
              <w:numPr>
                <w:ilvl w:val="0"/>
                <w:numId w:val="14"/>
              </w:numPr>
              <w:contextualSpacing w:val="0"/>
            </w:pPr>
            <w:r>
              <w:t>Fund a broader public awareness campaigns and strategies to change deep-seated negative attitudes towards LGBTI</w:t>
            </w:r>
            <w:r w:rsidR="00237FE8">
              <w:t>Q+</w:t>
            </w:r>
            <w:r>
              <w:t xml:space="preserve"> people (see </w:t>
            </w:r>
            <w:r w:rsidRPr="00212547">
              <w:rPr>
                <w:i/>
                <w:iCs/>
              </w:rPr>
              <w:t>End the Hate</w:t>
            </w:r>
            <w:r>
              <w:t xml:space="preserve"> recommendation 1.1).</w:t>
            </w:r>
          </w:p>
          <w:p w14:paraId="72E7621C" w14:textId="15B6FDA4" w:rsidR="00212547" w:rsidRDefault="00212547" w:rsidP="00C63E10">
            <w:pPr>
              <w:pStyle w:val="ListParagraph"/>
              <w:numPr>
                <w:ilvl w:val="0"/>
                <w:numId w:val="14"/>
              </w:numPr>
              <w:contextualSpacing w:val="0"/>
            </w:pPr>
            <w:r>
              <w:t>Fund more research into</w:t>
            </w:r>
            <w:r w:rsidR="00237FE8">
              <w:t>,</w:t>
            </w:r>
            <w:r>
              <w:t xml:space="preserve"> and reporting mechanisms to capture the incidence of</w:t>
            </w:r>
            <w:r w:rsidR="00237FE8">
              <w:t>,</w:t>
            </w:r>
            <w:r>
              <w:t xml:space="preserve"> prejudice-motivated conduct</w:t>
            </w:r>
            <w:r w:rsidR="00237FE8">
              <w:t xml:space="preserve"> towards LGBTIQ+ people</w:t>
            </w:r>
            <w:r>
              <w:t>, including through a public reporting app or website (see, e.g., recommendations 1.2-1.6).</w:t>
            </w:r>
          </w:p>
          <w:p w14:paraId="31ABB1C7" w14:textId="13D32863" w:rsidR="00212547" w:rsidRDefault="00212547" w:rsidP="00C63E10">
            <w:pPr>
              <w:pStyle w:val="ListParagraph"/>
              <w:numPr>
                <w:ilvl w:val="0"/>
                <w:numId w:val="14"/>
              </w:numPr>
              <w:contextualSpacing w:val="0"/>
            </w:pPr>
            <w:r>
              <w:t>Fund more support and resources for LGBTIQ+ people affected by prejudice-motivated conduct (see, e.g., recommendations 2.2, 2.4).</w:t>
            </w:r>
          </w:p>
          <w:p w14:paraId="19ACAC12" w14:textId="5C6BD9CD" w:rsidR="00212547" w:rsidRDefault="00212547" w:rsidP="00C63E10">
            <w:pPr>
              <w:pStyle w:val="ListParagraph"/>
              <w:numPr>
                <w:ilvl w:val="0"/>
                <w:numId w:val="14"/>
              </w:numPr>
              <w:contextualSpacing w:val="0"/>
              <w:rPr>
                <w:rStyle w:val="PageNumber"/>
              </w:rPr>
            </w:pPr>
            <w:r>
              <w:t xml:space="preserve">Strengthen the relationship between </w:t>
            </w:r>
            <w:r w:rsidR="000274BB">
              <w:t>Queensland</w:t>
            </w:r>
            <w:r>
              <w:t xml:space="preserve"> Police and our communities, including through </w:t>
            </w:r>
            <w:r w:rsidR="00237FE8">
              <w:t xml:space="preserve">more </w:t>
            </w:r>
            <w:r>
              <w:t xml:space="preserve">training and better data collection to support law enforcement </w:t>
            </w:r>
            <w:r w:rsidR="00237FE8">
              <w:t>efforts</w:t>
            </w:r>
            <w:r>
              <w:t xml:space="preserve"> (see, </w:t>
            </w:r>
            <w:proofErr w:type="gramStart"/>
            <w:r>
              <w:t>e.g.</w:t>
            </w:r>
            <w:proofErr w:type="gramEnd"/>
            <w:r>
              <w:t xml:space="preserve"> recommendations, 3.1-3.6).</w:t>
            </w:r>
          </w:p>
        </w:tc>
      </w:tr>
    </w:tbl>
    <w:p w14:paraId="182EA9A2" w14:textId="5C751E75" w:rsidR="009402F3" w:rsidRDefault="009402F3" w:rsidP="00237FE8">
      <w:pPr>
        <w:pStyle w:val="Heading3"/>
      </w:pPr>
      <w:r>
        <w:t>Further information</w:t>
      </w:r>
      <w:r w:rsidR="00212547">
        <w:t xml:space="preserve"> about our submission</w:t>
      </w:r>
    </w:p>
    <w:p w14:paraId="518F5EBC" w14:textId="48C7B6EF" w:rsidR="00212547" w:rsidRDefault="00212547" w:rsidP="00237FE8">
      <w:pPr>
        <w:keepNext/>
      </w:pPr>
      <w:r>
        <w:t>Equality Australia has no objection to its submission being made public and is prepared to give further evidence at a public hearing.</w:t>
      </w:r>
    </w:p>
    <w:p w14:paraId="12E856FF" w14:textId="77777777" w:rsidR="00212547" w:rsidRDefault="00212547" w:rsidP="00237FE8">
      <w:pPr>
        <w:keepNext/>
      </w:pPr>
      <w:r>
        <w:t xml:space="preserve">Further questions regarding our submissions can be addressed to: </w:t>
      </w:r>
    </w:p>
    <w:p w14:paraId="69243AE8" w14:textId="0B64425A" w:rsidR="00212547" w:rsidRPr="00212547" w:rsidRDefault="00212547" w:rsidP="00212547">
      <w:r w:rsidRPr="00212547">
        <w:t xml:space="preserve">Anna Brown, Chief Executive Officer, </w:t>
      </w:r>
      <w:hyperlink r:id="rId17" w:history="1">
        <w:r w:rsidRPr="00212547">
          <w:t>anna.brown@equalityaustralia.org.au</w:t>
        </w:r>
      </w:hyperlink>
      <w:r w:rsidRPr="00212547">
        <w:t xml:space="preserve"> </w:t>
      </w:r>
      <w:r w:rsidRPr="00212547">
        <w:br/>
        <w:t xml:space="preserve">Ghassan Kassisieh, Legal Director, </w:t>
      </w:r>
      <w:hyperlink r:id="rId18" w:history="1">
        <w:r w:rsidRPr="00212547">
          <w:t>ghassan.kassisieh@equalityaustralia.org.au</w:t>
        </w:r>
      </w:hyperlink>
      <w:r w:rsidRPr="00212547">
        <w:t xml:space="preserve"> </w:t>
      </w:r>
    </w:p>
    <w:p w14:paraId="30F07A2F" w14:textId="77777777" w:rsidR="00212547" w:rsidRDefault="00212547" w:rsidP="00212547">
      <w:r w:rsidRPr="00237FE8">
        <w:rPr>
          <w:b/>
          <w:bCs/>
        </w:rPr>
        <w:t xml:space="preserve">Melbourne office: </w:t>
      </w:r>
      <w:r>
        <w:t xml:space="preserve">Level 17, 461 Bourke St Melbourne VIC 3000 </w:t>
      </w:r>
      <w:r>
        <w:br/>
      </w:r>
      <w:r w:rsidRPr="00237FE8">
        <w:rPr>
          <w:b/>
          <w:bCs/>
        </w:rPr>
        <w:t>Sydney office:</w:t>
      </w:r>
      <w:r>
        <w:t xml:space="preserve"> 414 Elizabeth Street Surry Hills NSW 2010 </w:t>
      </w:r>
    </w:p>
    <w:p w14:paraId="617FA80D" w14:textId="0623E1F4" w:rsidR="00212547" w:rsidRDefault="001D71C8" w:rsidP="00212547">
      <w:hyperlink r:id="rId19" w:history="1">
        <w:r w:rsidR="00212547" w:rsidRPr="00C62084">
          <w:rPr>
            <w:rStyle w:val="Hyperlink"/>
          </w:rPr>
          <w:t>www.equalityaustralia.org.au</w:t>
        </w:r>
      </w:hyperlink>
      <w:r w:rsidR="00212547">
        <w:t xml:space="preserve"> </w:t>
      </w:r>
    </w:p>
    <w:p w14:paraId="141E45F3" w14:textId="148C32A5" w:rsidR="00212547" w:rsidRPr="00212547" w:rsidRDefault="00212547" w:rsidP="00212547">
      <w:r>
        <w:t xml:space="preserve">We acknowledge that our offices are on the land of the Kulin Nation and the land of the Eora </w:t>
      </w:r>
      <w:proofErr w:type="gramStart"/>
      <w:r>
        <w:t>Nation</w:t>
      </w:r>
      <w:proofErr w:type="gramEnd"/>
      <w:r>
        <w:t xml:space="preserve"> and we pay our respects to their traditional owners.</w:t>
      </w:r>
    </w:p>
    <w:p w14:paraId="17AF19CE" w14:textId="77777777" w:rsidR="009402F3" w:rsidRPr="009402F3" w:rsidRDefault="009402F3" w:rsidP="009402F3"/>
    <w:p w14:paraId="24E31A10" w14:textId="3BBCB1C5" w:rsidR="00D639AB" w:rsidRDefault="00D639AB">
      <w:pPr>
        <w:spacing w:before="0" w:after="160" w:line="259" w:lineRule="auto"/>
      </w:pPr>
    </w:p>
    <w:sectPr w:rsidR="00D639AB" w:rsidSect="00735275">
      <w:headerReference w:type="default" r:id="rId20"/>
      <w:footerReference w:type="default" r:id="rId21"/>
      <w:pgSz w:w="11907" w:h="16840" w:code="9"/>
      <w:pgMar w:top="1644" w:right="1021" w:bottom="1644" w:left="1985" w:header="709"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B346" w14:textId="77777777" w:rsidR="00345DAD" w:rsidRDefault="00345DAD" w:rsidP="00CA34DF">
      <w:r>
        <w:separator/>
      </w:r>
    </w:p>
  </w:endnote>
  <w:endnote w:type="continuationSeparator" w:id="0">
    <w:p w14:paraId="04523D0A" w14:textId="77777777" w:rsidR="00345DAD" w:rsidRDefault="00345DAD" w:rsidP="00CA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pass Light">
    <w:panose1 w:val="00000400000000000000"/>
    <w:charset w:val="00"/>
    <w:family w:val="modern"/>
    <w:notTrueType/>
    <w:pitch w:val="variable"/>
    <w:sig w:usb0="00000007" w:usb1="00000020" w:usb2="00000000" w:usb3="00000000" w:csb0="00000093" w:csb1="00000000"/>
  </w:font>
  <w:font w:name="Overpass">
    <w:panose1 w:val="00000500000000000000"/>
    <w:charset w:val="00"/>
    <w:family w:val="modern"/>
    <w:notTrueType/>
    <w:pitch w:val="variable"/>
    <w:sig w:usb0="00000007" w:usb1="00000020" w:usb2="00000000" w:usb3="00000000" w:csb0="00000093" w:csb1="00000000"/>
  </w:font>
  <w:font w:name="PhosphateSolid">
    <w:panose1 w:val="02000606020000020004"/>
    <w:charset w:val="00"/>
    <w:family w:val="auto"/>
    <w:pitch w:val="variable"/>
    <w:sig w:usb0="800000A3" w:usb1="00000000" w:usb2="00000000" w:usb3="00000000" w:csb0="00000009" w:csb1="00000000"/>
    <w:embedRegular r:id="rId1" w:fontKey="{010D5C76-323A-4EF7-BAAC-B408B08F8695}"/>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33B6" w14:textId="77777777" w:rsidR="003C4AA4" w:rsidRDefault="003C4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49A2" w14:textId="47F1C80B" w:rsidR="00EC06BA" w:rsidRPr="00223F49" w:rsidRDefault="00BC75BE" w:rsidP="00223F49">
    <w:pPr>
      <w:pStyle w:val="P1Footer"/>
      <w:rPr>
        <w:b/>
      </w:rPr>
    </w:pPr>
    <w:r>
      <w:rPr>
        <w:b/>
      </w:rPr>
      <w:t>July</w:t>
    </w:r>
    <w:r w:rsidR="00EC06BA">
      <w:rPr>
        <w:b/>
      </w:rPr>
      <w:t xml:space="preserve"> 202</w:t>
    </w:r>
    <w:r w:rsidR="003C4AA4">
      <w:rPr>
        <w:b/>
      </w:rPr>
      <w:t>1</w:t>
    </w:r>
  </w:p>
  <w:p w14:paraId="7EF364B7" w14:textId="0798E661" w:rsidR="00EC06BA" w:rsidRPr="00735275" w:rsidRDefault="00EC06BA" w:rsidP="00735275">
    <w:pPr>
      <w:pStyle w:val="FooterP1EQAU"/>
    </w:pPr>
    <w:r w:rsidRPr="00735275">
      <w:t>we need your voice.   equalityaustralia.org.au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5CB0" w14:textId="77777777" w:rsidR="003C4AA4" w:rsidRDefault="003C4A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A595" w14:textId="5934A46B" w:rsidR="00EC06BA" w:rsidRPr="001F03C4" w:rsidRDefault="00AA1163" w:rsidP="00735275">
    <w:pPr>
      <w:pStyle w:val="Footer"/>
    </w:pPr>
    <w:r>
      <w:rPr>
        <w:i/>
        <w:iCs/>
      </w:rPr>
      <w:t xml:space="preserve">Living with Dignity and </w:t>
    </w:r>
    <w:r w:rsidR="001F03C4">
      <w:rPr>
        <w:i/>
        <w:iCs/>
      </w:rPr>
      <w:t>Wi</w:t>
    </w:r>
    <w:r>
      <w:rPr>
        <w:i/>
        <w:iCs/>
      </w:rPr>
      <w:t>thout Fear</w:t>
    </w:r>
    <w:r w:rsidR="001F03C4">
      <w:rPr>
        <w:i/>
        <w:iCs/>
      </w:rPr>
      <w:t xml:space="preserve">: Equality Australia’s submission to the Queensland Legal Affairs and Safety </w:t>
    </w:r>
    <w:r w:rsidR="00A54EE5">
      <w:rPr>
        <w:i/>
        <w:iCs/>
      </w:rPr>
      <w:t>Committee Inquiry into Serious Vilification and Hate Crimes</w:t>
    </w:r>
  </w:p>
  <w:tbl>
    <w:tblPr>
      <w:tblStyle w:val="TableGrid"/>
      <w:tblW w:w="913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70"/>
    </w:tblGrid>
    <w:tr w:rsidR="00EC06BA" w:rsidRPr="00E20450" w14:paraId="392E262A" w14:textId="77777777" w:rsidTr="00EC06BA">
      <w:tc>
        <w:tcPr>
          <w:tcW w:w="4560" w:type="dxa"/>
        </w:tcPr>
        <w:p w14:paraId="501184B6" w14:textId="77777777" w:rsidR="00EC06BA" w:rsidRPr="0011785E" w:rsidRDefault="00EC06BA" w:rsidP="00735275">
          <w:pPr>
            <w:pStyle w:val="FooterEQAU"/>
          </w:pPr>
          <w:r w:rsidRPr="0011785E">
            <w:t>equalityaustralia.org.au</w:t>
          </w:r>
        </w:p>
      </w:tc>
      <w:tc>
        <w:tcPr>
          <w:tcW w:w="4570" w:type="dxa"/>
        </w:tcPr>
        <w:p w14:paraId="4B1D2C02" w14:textId="77777777" w:rsidR="00EC06BA" w:rsidRPr="0011785E" w:rsidRDefault="00EC06BA" w:rsidP="00735275">
          <w:pPr>
            <w:pStyle w:val="Page"/>
            <w:spacing w:before="0" w:after="0" w:line="240" w:lineRule="auto"/>
            <w:jc w:val="right"/>
          </w:pPr>
          <w:r>
            <w:t xml:space="preserve">Page </w:t>
          </w:r>
          <w:r>
            <w:fldChar w:fldCharType="begin"/>
          </w:r>
          <w:r>
            <w:instrText xml:space="preserve"> PAGE  \* Arabic  \* MERGEFORMAT </w:instrText>
          </w:r>
          <w:r>
            <w:fldChar w:fldCharType="separate"/>
          </w:r>
          <w:r>
            <w:t>1</w:t>
          </w:r>
          <w:r>
            <w:fldChar w:fldCharType="end"/>
          </w:r>
        </w:p>
      </w:tc>
    </w:tr>
  </w:tbl>
  <w:p w14:paraId="04AB9F17" w14:textId="5A2173FE" w:rsidR="00EC06BA" w:rsidRPr="00735275" w:rsidRDefault="00EC06BA" w:rsidP="0073527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47D9E" w14:textId="77777777" w:rsidR="00345DAD" w:rsidRDefault="00345DAD" w:rsidP="00CA34DF">
      <w:r>
        <w:separator/>
      </w:r>
    </w:p>
  </w:footnote>
  <w:footnote w:type="continuationSeparator" w:id="0">
    <w:p w14:paraId="28570174" w14:textId="77777777" w:rsidR="00345DAD" w:rsidRDefault="00345DAD" w:rsidP="00CA34DF">
      <w:r>
        <w:continuationSeparator/>
      </w:r>
    </w:p>
  </w:footnote>
  <w:footnote w:id="1">
    <w:p w14:paraId="170CD97E" w14:textId="5703E5CB" w:rsidR="00EC06BA" w:rsidRPr="00C82848" w:rsidRDefault="00EC06BA">
      <w:pPr>
        <w:pStyle w:val="FootnoteText"/>
      </w:pPr>
      <w:r>
        <w:rPr>
          <w:rStyle w:val="FootnoteReference"/>
        </w:rPr>
        <w:footnoteRef/>
      </w:r>
      <w:r>
        <w:t xml:space="preserve"> See, e.g.,</w:t>
      </w:r>
      <w:r w:rsidR="00BB03A6">
        <w:t xml:space="preserve"> </w:t>
      </w:r>
      <w:r w:rsidR="00AB4D07">
        <w:t xml:space="preserve">Hill et al (2020) </w:t>
      </w:r>
      <w:hyperlink r:id="rId1" w:history="1">
        <w:r w:rsidR="00AB4D07" w:rsidRPr="00440054">
          <w:rPr>
            <w:rStyle w:val="Hyperlink"/>
            <w:i/>
            <w:iCs/>
          </w:rPr>
          <w:t>Private Lives 3: The health and wellbeing of LGBTIQ</w:t>
        </w:r>
        <w:r w:rsidR="00440054" w:rsidRPr="00440054">
          <w:rPr>
            <w:rStyle w:val="Hyperlink"/>
            <w:i/>
            <w:iCs/>
          </w:rPr>
          <w:t xml:space="preserve"> people in Australia</w:t>
        </w:r>
      </w:hyperlink>
      <w:r w:rsidR="00440054">
        <w:rPr>
          <w:i/>
          <w:iCs/>
        </w:rPr>
        <w:t xml:space="preserve">, </w:t>
      </w:r>
      <w:r w:rsidR="00440054">
        <w:t xml:space="preserve">Melbourne: ARCSHS, La Trobe University, </w:t>
      </w:r>
      <w:r w:rsidR="00BB03A6">
        <w:t>at 37-41</w:t>
      </w:r>
      <w:r w:rsidR="00AB4D07">
        <w:t>;</w:t>
      </w:r>
      <w:r>
        <w:t xml:space="preserve"> Leonard</w:t>
      </w:r>
      <w:r w:rsidR="00822C18">
        <w:t xml:space="preserve"> et al</w:t>
      </w:r>
      <w:r>
        <w:t xml:space="preserve"> (2012) </w:t>
      </w:r>
      <w:hyperlink r:id="rId2" w:history="1">
        <w:r w:rsidRPr="00B51690">
          <w:rPr>
            <w:rStyle w:val="Hyperlink"/>
            <w:i/>
            <w:iCs/>
          </w:rPr>
          <w:t>Private Lives 2: The second national survey of the health and wellbeing of gay, lesbian, bisexual and transgender (GLBT) Australians</w:t>
        </w:r>
      </w:hyperlink>
      <w:r>
        <w:t xml:space="preserve">, Melbourne: ARCSHS, La Trobe University, at 47-8; Australian Human Rights Commission (2015) </w:t>
      </w:r>
      <w:hyperlink r:id="rId3" w:history="1">
        <w:r w:rsidRPr="00840FED">
          <w:rPr>
            <w:rStyle w:val="Hyperlink"/>
            <w:i/>
            <w:iCs/>
          </w:rPr>
          <w:t>Resilient Individuals: Sexual orientation, gender identity and intersex rights</w:t>
        </w:r>
      </w:hyperlink>
      <w:r>
        <w:rPr>
          <w:i/>
          <w:iCs/>
        </w:rPr>
        <w:t xml:space="preserve">, </w:t>
      </w:r>
      <w:r>
        <w:t>Sydney: Australian Human Rights Commission, at 15-16.</w:t>
      </w:r>
    </w:p>
  </w:footnote>
  <w:footnote w:id="2">
    <w:p w14:paraId="0A19E7AE" w14:textId="32741BF4" w:rsidR="00EC06BA" w:rsidRDefault="00EC06BA" w:rsidP="00B418D9">
      <w:pPr>
        <w:pStyle w:val="FootnoteText"/>
      </w:pPr>
      <w:r>
        <w:rPr>
          <w:rStyle w:val="FootnoteReference"/>
        </w:rPr>
        <w:footnoteRef/>
      </w:r>
      <w:r>
        <w:t xml:space="preserve"> </w:t>
      </w:r>
      <w:r w:rsidR="00840FED">
        <w:t xml:space="preserve">Leonard et al (2012) </w:t>
      </w:r>
      <w:hyperlink r:id="rId4" w:history="1">
        <w:r w:rsidR="00840FED" w:rsidRPr="00B51690">
          <w:rPr>
            <w:rStyle w:val="Hyperlink"/>
            <w:i/>
            <w:iCs/>
          </w:rPr>
          <w:t>Private Lives 2</w:t>
        </w:r>
      </w:hyperlink>
      <w:r w:rsidR="00840FED">
        <w:t xml:space="preserve">, </w:t>
      </w:r>
      <w:r>
        <w:t xml:space="preserve">Melbourne: ARCSHS, La Trobe University, at 45-7; Australian Human Rights Commission (2015) </w:t>
      </w:r>
      <w:hyperlink r:id="rId5" w:history="1">
        <w:r w:rsidRPr="00840FED">
          <w:rPr>
            <w:rStyle w:val="Hyperlink"/>
            <w:i/>
            <w:iCs/>
          </w:rPr>
          <w:t>Resilient Individuals</w:t>
        </w:r>
      </w:hyperlink>
      <w:r>
        <w:rPr>
          <w:i/>
          <w:iCs/>
        </w:rPr>
        <w:t xml:space="preserve">, </w:t>
      </w:r>
      <w:r>
        <w:t>Sydney: Australian Human Rights Commission, at 18.</w:t>
      </w:r>
    </w:p>
  </w:footnote>
  <w:footnote w:id="3">
    <w:p w14:paraId="4EB6245A" w14:textId="655A7698" w:rsidR="00A9422C" w:rsidRDefault="00A9422C">
      <w:pPr>
        <w:pStyle w:val="FootnoteText"/>
      </w:pPr>
      <w:r>
        <w:rPr>
          <w:rStyle w:val="FootnoteReference"/>
        </w:rPr>
        <w:footnoteRef/>
      </w:r>
      <w:r>
        <w:t xml:space="preserve"> Hill et al (2020) </w:t>
      </w:r>
      <w:hyperlink r:id="rId6" w:history="1">
        <w:r w:rsidRPr="00440054">
          <w:rPr>
            <w:rStyle w:val="Hyperlink"/>
            <w:i/>
            <w:iCs/>
          </w:rPr>
          <w:t>Private Lives 3: The health and wellbeing of LGBTIQ people in Australia</w:t>
        </w:r>
      </w:hyperlink>
      <w:r>
        <w:rPr>
          <w:i/>
          <w:iCs/>
        </w:rPr>
        <w:t xml:space="preserve">, </w:t>
      </w:r>
      <w:r>
        <w:t xml:space="preserve">Melbourne: ARCSHS, La Trobe University, at </w:t>
      </w:r>
      <w:r w:rsidR="00E337EE">
        <w:t>3</w:t>
      </w:r>
      <w:r w:rsidR="00593B9C">
        <w:t>7.</w:t>
      </w:r>
    </w:p>
  </w:footnote>
  <w:footnote w:id="4">
    <w:p w14:paraId="46822C11" w14:textId="2D6CCBE6" w:rsidR="00B51690" w:rsidRDefault="00B51690">
      <w:pPr>
        <w:pStyle w:val="FootnoteText"/>
      </w:pPr>
      <w:r>
        <w:rPr>
          <w:rStyle w:val="FootnoteReference"/>
        </w:rPr>
        <w:footnoteRef/>
      </w:r>
      <w:r>
        <w:t xml:space="preserve"> Leonard et al (2012) </w:t>
      </w:r>
      <w:hyperlink r:id="rId7" w:history="1">
        <w:r w:rsidRPr="00B51690">
          <w:rPr>
            <w:rStyle w:val="Hyperlink"/>
            <w:i/>
            <w:iCs/>
          </w:rPr>
          <w:t>Private Lives 2</w:t>
        </w:r>
      </w:hyperlink>
      <w:r>
        <w:t>, Melbourne: ARCSHS, La Trobe University, at 47.</w:t>
      </w:r>
    </w:p>
  </w:footnote>
  <w:footnote w:id="5">
    <w:p w14:paraId="010B69A9" w14:textId="19415115" w:rsidR="00C92011" w:rsidRDefault="00C92011">
      <w:pPr>
        <w:pStyle w:val="FootnoteText"/>
      </w:pPr>
      <w:r>
        <w:rPr>
          <w:rStyle w:val="FootnoteReference"/>
        </w:rPr>
        <w:footnoteRef/>
      </w:r>
      <w:r>
        <w:t xml:space="preserve"> Leonard and Mann (2018) </w:t>
      </w:r>
      <w:hyperlink r:id="rId8" w:history="1">
        <w:r w:rsidRPr="00C92011">
          <w:rPr>
            <w:rStyle w:val="Hyperlink"/>
            <w:i/>
            <w:iCs/>
          </w:rPr>
          <w:t>The Everyday Experience of Lesbian, Gay, Bisexual, Transgender and Intersex (LGBTI) People Living with Disability</w:t>
        </w:r>
      </w:hyperlink>
      <w:r w:rsidRPr="00C92011">
        <w:t>,</w:t>
      </w:r>
      <w:r>
        <w:t xml:space="preserve"> Melbourne: </w:t>
      </w:r>
      <w:r w:rsidRPr="00C92011">
        <w:t>GLHV@ARCSHS, La Trobe University</w:t>
      </w:r>
      <w:r>
        <w:t>, at 54.</w:t>
      </w:r>
    </w:p>
  </w:footnote>
  <w:footnote w:id="6">
    <w:p w14:paraId="7D7760BB" w14:textId="17D5BBCB" w:rsidR="00861EE5" w:rsidRDefault="00861EE5">
      <w:pPr>
        <w:pStyle w:val="FootnoteText"/>
      </w:pPr>
      <w:r>
        <w:rPr>
          <w:rStyle w:val="FootnoteReference"/>
        </w:rPr>
        <w:footnoteRef/>
      </w:r>
      <w:r>
        <w:t xml:space="preserve"> </w:t>
      </w:r>
      <w:r w:rsidRPr="00861EE5">
        <w:t>Kerr</w:t>
      </w:r>
      <w:r>
        <w:t xml:space="preserve"> et al </w:t>
      </w:r>
      <w:r w:rsidRPr="00861EE5">
        <w:t xml:space="preserve"> (2019) </w:t>
      </w:r>
      <w:hyperlink r:id="rId9" w:history="1">
        <w:proofErr w:type="spellStart"/>
        <w:r w:rsidRPr="00861EE5">
          <w:rPr>
            <w:rStyle w:val="Hyperlink"/>
            <w:i/>
            <w:iCs/>
          </w:rPr>
          <w:t>TRANScending</w:t>
        </w:r>
        <w:proofErr w:type="spellEnd"/>
        <w:r w:rsidRPr="00861EE5">
          <w:rPr>
            <w:rStyle w:val="Hyperlink"/>
            <w:i/>
            <w:iCs/>
          </w:rPr>
          <w:t xml:space="preserve"> Discrimination in Health &amp; Cancer Care: A Study of Trans &amp; Gender Diverse Australians</w:t>
        </w:r>
      </w:hyperlink>
      <w:r>
        <w:t xml:space="preserve">, </w:t>
      </w:r>
      <w:r w:rsidRPr="00861EE5">
        <w:t xml:space="preserve">Bundoora: </w:t>
      </w:r>
      <w:r>
        <w:t>ARCSHS</w:t>
      </w:r>
      <w:r w:rsidRPr="00861EE5">
        <w:t>, La Trobe University</w:t>
      </w:r>
      <w:r>
        <w:t>, at 32-33.</w:t>
      </w:r>
    </w:p>
  </w:footnote>
  <w:footnote w:id="7">
    <w:p w14:paraId="73ABDE93" w14:textId="74DAFEBE" w:rsidR="00620EBE" w:rsidRPr="00620EBE" w:rsidRDefault="00620EBE">
      <w:pPr>
        <w:pStyle w:val="FootnoteText"/>
      </w:pPr>
      <w:r>
        <w:rPr>
          <w:rStyle w:val="FootnoteReference"/>
        </w:rPr>
        <w:footnoteRef/>
      </w:r>
      <w:r>
        <w:t xml:space="preserve"> Jones (2016) </w:t>
      </w:r>
      <w:hyperlink r:id="rId10" w:history="1">
        <w:r w:rsidRPr="00620EBE">
          <w:rPr>
            <w:rStyle w:val="Hyperlink"/>
          </w:rPr>
          <w:t>‘The needs of students with intersex variations’</w:t>
        </w:r>
      </w:hyperlink>
      <w:r>
        <w:t xml:space="preserve">, </w:t>
      </w:r>
      <w:r>
        <w:rPr>
          <w:i/>
          <w:iCs/>
        </w:rPr>
        <w:t xml:space="preserve">Sex Education, </w:t>
      </w:r>
      <w:r>
        <w:t>at 13-14.</w:t>
      </w:r>
    </w:p>
  </w:footnote>
  <w:footnote w:id="8">
    <w:p w14:paraId="1259B56D" w14:textId="55E57436" w:rsidR="00822C18" w:rsidRDefault="00822C18">
      <w:pPr>
        <w:pStyle w:val="FootnoteText"/>
      </w:pPr>
      <w:r>
        <w:rPr>
          <w:rStyle w:val="FootnoteReference"/>
        </w:rPr>
        <w:footnoteRef/>
      </w:r>
      <w:r>
        <w:t xml:space="preserve"> </w:t>
      </w:r>
      <w:r w:rsidRPr="00822C18">
        <w:t>Hillier</w:t>
      </w:r>
      <w:r>
        <w:t xml:space="preserve"> et al </w:t>
      </w:r>
      <w:r w:rsidRPr="00822C18">
        <w:t xml:space="preserve">(2010) </w:t>
      </w:r>
      <w:hyperlink r:id="rId11" w:history="1">
        <w:r w:rsidRPr="00822C18">
          <w:rPr>
            <w:rStyle w:val="Hyperlink"/>
            <w:i/>
            <w:iCs/>
          </w:rPr>
          <w:t xml:space="preserve">Writing Themselves </w:t>
        </w:r>
        <w:proofErr w:type="gramStart"/>
        <w:r w:rsidRPr="00822C18">
          <w:rPr>
            <w:rStyle w:val="Hyperlink"/>
            <w:i/>
            <w:iCs/>
          </w:rPr>
          <w:t>In</w:t>
        </w:r>
        <w:proofErr w:type="gramEnd"/>
        <w:r w:rsidRPr="00822C18">
          <w:rPr>
            <w:rStyle w:val="Hyperlink"/>
            <w:i/>
            <w:iCs/>
          </w:rPr>
          <w:t xml:space="preserve"> 3</w:t>
        </w:r>
        <w:r w:rsidRPr="00822C18">
          <w:rPr>
            <w:rStyle w:val="Hyperlink"/>
          </w:rPr>
          <w:t>,</w:t>
        </w:r>
      </w:hyperlink>
      <w:r>
        <w:t xml:space="preserve"> Melbourne:</w:t>
      </w:r>
      <w:r w:rsidRPr="00822C18">
        <w:t xml:space="preserve"> </w:t>
      </w:r>
      <w:r>
        <w:t xml:space="preserve">ARCSHS, </w:t>
      </w:r>
      <w:r w:rsidRPr="00822C18">
        <w:t>La Trobe University</w:t>
      </w:r>
      <w:r>
        <w:t>, at 39.</w:t>
      </w:r>
    </w:p>
  </w:footnote>
  <w:footnote w:id="9">
    <w:p w14:paraId="51FE2DC1" w14:textId="028263C1" w:rsidR="00237FE8" w:rsidRDefault="00237FE8">
      <w:pPr>
        <w:pStyle w:val="FootnoteText"/>
      </w:pPr>
      <w:r>
        <w:rPr>
          <w:rStyle w:val="FootnoteReference"/>
        </w:rPr>
        <w:footnoteRef/>
      </w:r>
      <w:r>
        <w:t xml:space="preserve"> </w:t>
      </w:r>
      <w:r w:rsidRPr="00237FE8">
        <w:t>Centre for Social Research in Health (2019)</w:t>
      </w:r>
      <w:r w:rsidRPr="00237FE8">
        <w:rPr>
          <w:i/>
          <w:iCs/>
        </w:rPr>
        <w:t xml:space="preserve"> </w:t>
      </w:r>
      <w:hyperlink r:id="rId12" w:history="1">
        <w:r w:rsidRPr="00237FE8">
          <w:rPr>
            <w:rStyle w:val="Hyperlink"/>
            <w:i/>
            <w:iCs/>
          </w:rPr>
          <w:t>Stigma Indicators Monitoring Project: People living with HIV</w:t>
        </w:r>
      </w:hyperlink>
      <w:r>
        <w:t xml:space="preserve">, Sydney: </w:t>
      </w:r>
      <w:r w:rsidRPr="00237FE8">
        <w:t>CSRH, UNSW</w:t>
      </w:r>
      <w:r>
        <w:t>, at 1.</w:t>
      </w:r>
    </w:p>
  </w:footnote>
  <w:footnote w:id="10">
    <w:p w14:paraId="30108CBE" w14:textId="6B03D846" w:rsidR="00237FE8" w:rsidRDefault="00237FE8">
      <w:pPr>
        <w:pStyle w:val="FootnoteText"/>
      </w:pPr>
      <w:r>
        <w:rPr>
          <w:rStyle w:val="FootnoteReference"/>
        </w:rPr>
        <w:footnoteRef/>
      </w:r>
      <w:r>
        <w:t xml:space="preserve"> </w:t>
      </w:r>
      <w:r w:rsidR="00861EE5">
        <w:t>Ibid</w:t>
      </w:r>
      <w:r>
        <w:t>, at 2.</w:t>
      </w:r>
    </w:p>
  </w:footnote>
  <w:footnote w:id="11">
    <w:p w14:paraId="15063F73" w14:textId="6CBFDACE" w:rsidR="003538C8" w:rsidRPr="003538C8" w:rsidRDefault="003538C8">
      <w:pPr>
        <w:pStyle w:val="FootnoteText"/>
      </w:pPr>
      <w:r>
        <w:rPr>
          <w:rStyle w:val="FootnoteReference"/>
        </w:rPr>
        <w:footnoteRef/>
      </w:r>
      <w:r>
        <w:t xml:space="preserve"> </w:t>
      </w:r>
      <w:r>
        <w:rPr>
          <w:i/>
          <w:iCs/>
        </w:rPr>
        <w:t xml:space="preserve">Anti-Discrimination Act 1991 </w:t>
      </w:r>
      <w:r>
        <w:t>(Qld), Schedule.</w:t>
      </w:r>
    </w:p>
  </w:footnote>
  <w:footnote w:id="12">
    <w:p w14:paraId="5D55F1A6" w14:textId="1BC92A55" w:rsidR="00B22E6F" w:rsidRPr="00B22E6F" w:rsidRDefault="00B22E6F">
      <w:pPr>
        <w:pStyle w:val="FootnoteText"/>
      </w:pPr>
      <w:r>
        <w:rPr>
          <w:rStyle w:val="FootnoteReference"/>
        </w:rPr>
        <w:footnoteRef/>
      </w:r>
      <w:r>
        <w:t xml:space="preserve"> </w:t>
      </w:r>
      <w:r>
        <w:rPr>
          <w:i/>
          <w:iCs/>
        </w:rPr>
        <w:t xml:space="preserve">Anti-Discrimination Act 1991 </w:t>
      </w:r>
      <w:r>
        <w:t>(Qld), Schedule.</w:t>
      </w:r>
    </w:p>
  </w:footnote>
  <w:footnote w:id="13">
    <w:p w14:paraId="64BE3E7A" w14:textId="29CE031C" w:rsidR="00526458" w:rsidRPr="005972DD" w:rsidRDefault="00526458">
      <w:pPr>
        <w:pStyle w:val="FootnoteText"/>
      </w:pPr>
      <w:r>
        <w:rPr>
          <w:rStyle w:val="FootnoteReference"/>
        </w:rPr>
        <w:footnoteRef/>
      </w:r>
      <w:r>
        <w:t xml:space="preserve"> </w:t>
      </w:r>
      <w:r w:rsidR="00B65619">
        <w:rPr>
          <w:i/>
          <w:iCs/>
        </w:rPr>
        <w:t xml:space="preserve">Discrimination Act 1991 </w:t>
      </w:r>
      <w:r w:rsidR="00B65619">
        <w:t xml:space="preserve">(ACT), Dictionary (definition of ‘sexuality’); </w:t>
      </w:r>
      <w:r w:rsidR="005972DD">
        <w:rPr>
          <w:i/>
          <w:iCs/>
        </w:rPr>
        <w:t xml:space="preserve">Anti-Discrimination Act 1998 </w:t>
      </w:r>
      <w:r w:rsidR="005972DD">
        <w:t>(Tas)</w:t>
      </w:r>
      <w:r w:rsidR="005972DD">
        <w:rPr>
          <w:i/>
          <w:iCs/>
        </w:rPr>
        <w:t xml:space="preserve">, </w:t>
      </w:r>
      <w:r w:rsidR="005972DD">
        <w:t>s 3 (definition of ‘sexual orientation’).</w:t>
      </w:r>
    </w:p>
  </w:footnote>
  <w:footnote w:id="14">
    <w:p w14:paraId="276C0DD4" w14:textId="3C39E4EB" w:rsidR="000E4936" w:rsidRPr="002F1FE4" w:rsidRDefault="000E4936">
      <w:pPr>
        <w:pStyle w:val="FootnoteText"/>
      </w:pPr>
      <w:r>
        <w:rPr>
          <w:rStyle w:val="FootnoteReference"/>
        </w:rPr>
        <w:footnoteRef/>
      </w:r>
      <w:r>
        <w:t xml:space="preserve"> See </w:t>
      </w:r>
      <w:hyperlink r:id="rId13" w:history="1">
        <w:r w:rsidR="003C3B3A" w:rsidRPr="008F04DA">
          <w:rPr>
            <w:rStyle w:val="Hyperlink"/>
          </w:rPr>
          <w:t>https://yogyakartaprinciples.org/</w:t>
        </w:r>
      </w:hyperlink>
      <w:r w:rsidR="00526458">
        <w:t>.</w:t>
      </w:r>
      <w:r w:rsidR="003C3B3A">
        <w:t xml:space="preserve">  </w:t>
      </w:r>
      <w:r w:rsidR="003C3B3A">
        <w:rPr>
          <w:i/>
          <w:iCs/>
        </w:rPr>
        <w:t xml:space="preserve">Equal Opportunity Act 2010 </w:t>
      </w:r>
      <w:r w:rsidR="003C3B3A">
        <w:t xml:space="preserve">(Vic), </w:t>
      </w:r>
      <w:r w:rsidR="00C925DF">
        <w:t>s 4 (definition of ‘sexual orientation’)</w:t>
      </w:r>
      <w:r w:rsidR="002F1FE4">
        <w:t xml:space="preserve"> [as amended by the yet to commence </w:t>
      </w:r>
      <w:r w:rsidR="002F1FE4">
        <w:rPr>
          <w:i/>
          <w:iCs/>
        </w:rPr>
        <w:t xml:space="preserve">Change or Suppression (Conversion) Practices Prohibition Act 2021 </w:t>
      </w:r>
      <w:r w:rsidR="002F1FE4">
        <w:t>(Vic)].</w:t>
      </w:r>
    </w:p>
  </w:footnote>
  <w:footnote w:id="15">
    <w:p w14:paraId="7BFDDC44" w14:textId="77777777" w:rsidR="00E80C83" w:rsidRPr="00B22E6F" w:rsidRDefault="00E80C83" w:rsidP="00E80C83">
      <w:pPr>
        <w:pStyle w:val="FootnoteText"/>
      </w:pPr>
      <w:r>
        <w:rPr>
          <w:rStyle w:val="FootnoteReference"/>
        </w:rPr>
        <w:footnoteRef/>
      </w:r>
      <w:r>
        <w:t xml:space="preserve"> </w:t>
      </w:r>
      <w:r>
        <w:rPr>
          <w:i/>
          <w:iCs/>
        </w:rPr>
        <w:t xml:space="preserve">Anti-Discrimination Act 1991 </w:t>
      </w:r>
      <w:r>
        <w:t>(Qld), Schedule.</w:t>
      </w:r>
    </w:p>
  </w:footnote>
  <w:footnote w:id="16">
    <w:p w14:paraId="51EEFC5E" w14:textId="0BF6BE0A" w:rsidR="00357815" w:rsidRDefault="00357815">
      <w:pPr>
        <w:pStyle w:val="FootnoteText"/>
      </w:pPr>
      <w:r>
        <w:rPr>
          <w:rStyle w:val="FootnoteReference"/>
        </w:rPr>
        <w:footnoteRef/>
      </w:r>
      <w:r>
        <w:t xml:space="preserve"> </w:t>
      </w:r>
      <w:r w:rsidR="008A2613">
        <w:t xml:space="preserve">Intersex Human Rights Australia (2019), ‘Intersex is not a gender identity, and the implications for legislation’, </w:t>
      </w:r>
      <w:hyperlink r:id="rId14" w:history="1">
        <w:r w:rsidR="00400005" w:rsidRPr="008F04DA">
          <w:rPr>
            <w:rStyle w:val="Hyperlink"/>
          </w:rPr>
          <w:t>https://ihra.org.au/17680/intersex-characteristics-not-gender-identity/</w:t>
        </w:r>
      </w:hyperlink>
      <w:r w:rsidR="00400005">
        <w:t xml:space="preserve"> [accessed 16 July 2021]</w:t>
      </w:r>
      <w:r w:rsidR="008A2613">
        <w:t xml:space="preserve">; </w:t>
      </w:r>
      <w:hyperlink r:id="rId15" w:history="1">
        <w:r w:rsidR="0083605F" w:rsidRPr="00345159">
          <w:rPr>
            <w:rStyle w:val="Hyperlink"/>
          </w:rPr>
          <w:t>Darlington Statement</w:t>
        </w:r>
      </w:hyperlink>
      <w:r w:rsidR="00345159">
        <w:t xml:space="preserve"> (2017)</w:t>
      </w:r>
      <w:r w:rsidR="0083605F">
        <w:t>, [8].</w:t>
      </w:r>
      <w:r w:rsidR="00345159">
        <w:t xml:space="preserve">  The Darlington Statement is a j</w:t>
      </w:r>
      <w:r w:rsidR="00345159" w:rsidRPr="00345159">
        <w:t xml:space="preserve">oint statement by Australia and Aotearoa/New Zealand intersex community organisations and independent advocates, including the Androgen Insensitivity Syndrome Support Group Australia (AISSGA), Intersex Trust Aotearoa New Zealand (ITANZ), Organisation Intersex International Australia (OIIAU), Eve Black, Kylie Bond (AISSGA), Tony Briffa (OIIAU/AISSGA), Morgan Carpenter (OIIAU/Intersex Day Project), Candice Cody (OIIAU), Alex David (OIIAU), Betsy Driver (Bodies Like Ours), Carolyn Hannaford (AISSGA), Eileen Harlow, Bonnie Hart (AISSGA), Phoebe Hart (AISSGA), Delia </w:t>
      </w:r>
      <w:proofErr w:type="spellStart"/>
      <w:r w:rsidR="00345159" w:rsidRPr="00345159">
        <w:t>Leckey</w:t>
      </w:r>
      <w:proofErr w:type="spellEnd"/>
      <w:r w:rsidR="00345159" w:rsidRPr="00345159">
        <w:t xml:space="preserve"> (ITANZ), Steph Lum (OIIAU), Mani Bruce Mitchell (ITANZ), Elise </w:t>
      </w:r>
      <w:proofErr w:type="spellStart"/>
      <w:r w:rsidR="00345159" w:rsidRPr="00345159">
        <w:t>Nyhuis</w:t>
      </w:r>
      <w:proofErr w:type="spellEnd"/>
      <w:r w:rsidR="00345159" w:rsidRPr="00345159">
        <w:t xml:space="preserve"> (AISSGA), Bronwyn O’Callaghan, Sandra Perrin (AISSGA), Cody Smith (</w:t>
      </w:r>
      <w:proofErr w:type="spellStart"/>
      <w:r w:rsidR="00345159" w:rsidRPr="00345159">
        <w:t>Tranz</w:t>
      </w:r>
      <w:proofErr w:type="spellEnd"/>
      <w:r w:rsidR="00345159" w:rsidRPr="00345159">
        <w:t xml:space="preserve"> Australia), Trace Williams (AISSGA), Imogen Yang (Bladder Exstrophy Epispadias Cloacal Exstrophy Hypospadias Australian Community – BEECHAC)</w:t>
      </w:r>
      <w:r w:rsidR="00345159">
        <w:t xml:space="preserve"> and</w:t>
      </w:r>
      <w:r w:rsidR="00345159" w:rsidRPr="00345159">
        <w:t xml:space="preserve"> Georgie </w:t>
      </w:r>
      <w:proofErr w:type="spellStart"/>
      <w:r w:rsidR="00345159" w:rsidRPr="00345159">
        <w:t>Yovanovic</w:t>
      </w:r>
      <w:proofErr w:type="spellEnd"/>
      <w:r w:rsidR="00345159" w:rsidRPr="00345159">
        <w:t>.</w:t>
      </w:r>
    </w:p>
  </w:footnote>
  <w:footnote w:id="17">
    <w:p w14:paraId="477A9D4E" w14:textId="10D68066" w:rsidR="00D02F89" w:rsidRPr="00A37A73" w:rsidRDefault="00D02F89">
      <w:pPr>
        <w:pStyle w:val="FootnoteText"/>
        <w:rPr>
          <w:i/>
          <w:iCs/>
        </w:rPr>
      </w:pPr>
      <w:r>
        <w:rPr>
          <w:rStyle w:val="FootnoteReference"/>
        </w:rPr>
        <w:footnoteRef/>
      </w:r>
      <w:r>
        <w:t xml:space="preserve"> </w:t>
      </w:r>
      <w:r w:rsidR="00B73A3E">
        <w:rPr>
          <w:i/>
          <w:iCs/>
        </w:rPr>
        <w:t xml:space="preserve">Discrimination Act 1991 </w:t>
      </w:r>
      <w:r w:rsidR="00B73A3E">
        <w:t xml:space="preserve">(ACT), Dictionary (definition of </w:t>
      </w:r>
      <w:proofErr w:type="spellStart"/>
      <w:r w:rsidR="00B73A3E">
        <w:t>‘gender</w:t>
      </w:r>
      <w:proofErr w:type="spellEnd"/>
      <w:r w:rsidR="00B73A3E">
        <w:t xml:space="preserve"> identity’); </w:t>
      </w:r>
      <w:r w:rsidR="00B73A3E">
        <w:rPr>
          <w:i/>
          <w:iCs/>
        </w:rPr>
        <w:t xml:space="preserve">Anti-Discrimination Act 1998 </w:t>
      </w:r>
      <w:r w:rsidR="00B73A3E">
        <w:t>(Tas)</w:t>
      </w:r>
      <w:r w:rsidR="00B73A3E">
        <w:rPr>
          <w:i/>
          <w:iCs/>
        </w:rPr>
        <w:t xml:space="preserve">, </w:t>
      </w:r>
      <w:r w:rsidR="00B73A3E">
        <w:t xml:space="preserve">s 3 (definition of </w:t>
      </w:r>
      <w:proofErr w:type="spellStart"/>
      <w:r w:rsidR="00B73A3E">
        <w:t>‘gender</w:t>
      </w:r>
      <w:proofErr w:type="spellEnd"/>
      <w:r w:rsidR="00B73A3E">
        <w:t xml:space="preserve"> identity’</w:t>
      </w:r>
      <w:r w:rsidR="00785C84">
        <w:t xml:space="preserve"> and </w:t>
      </w:r>
      <w:proofErr w:type="spellStart"/>
      <w:r w:rsidR="00785C84">
        <w:t>‘gender</w:t>
      </w:r>
      <w:proofErr w:type="spellEnd"/>
      <w:r w:rsidR="00785C84">
        <w:t xml:space="preserve"> expression’</w:t>
      </w:r>
      <w:r w:rsidR="00B73A3E">
        <w:t xml:space="preserve">); </w:t>
      </w:r>
      <w:r w:rsidR="009657F0">
        <w:rPr>
          <w:i/>
          <w:iCs/>
        </w:rPr>
        <w:t xml:space="preserve">Acts Interpretation Act 1915 </w:t>
      </w:r>
      <w:r w:rsidR="009657F0">
        <w:t xml:space="preserve">(SA), s 4(1) (definition of </w:t>
      </w:r>
      <w:proofErr w:type="spellStart"/>
      <w:r w:rsidR="009657F0">
        <w:t>‘gender</w:t>
      </w:r>
      <w:proofErr w:type="spellEnd"/>
      <w:r w:rsidR="009657F0">
        <w:t xml:space="preserve"> identity’); </w:t>
      </w:r>
      <w:r w:rsidR="009657F0">
        <w:rPr>
          <w:i/>
          <w:iCs/>
        </w:rPr>
        <w:t xml:space="preserve">Sex Discrimination Act 1984 </w:t>
      </w:r>
      <w:r w:rsidR="009657F0">
        <w:t>(</w:t>
      </w:r>
      <w:proofErr w:type="spellStart"/>
      <w:r w:rsidR="009657F0">
        <w:t>Cth</w:t>
      </w:r>
      <w:proofErr w:type="spellEnd"/>
      <w:r w:rsidR="009657F0">
        <w:t xml:space="preserve">), s </w:t>
      </w:r>
      <w:r w:rsidR="00A37A73">
        <w:t>4(1)</w:t>
      </w:r>
      <w:r w:rsidR="00FF0B6E">
        <w:t xml:space="preserve"> (definition of </w:t>
      </w:r>
      <w:proofErr w:type="spellStart"/>
      <w:r w:rsidR="00FF0B6E">
        <w:t>‘gender</w:t>
      </w:r>
      <w:proofErr w:type="spellEnd"/>
      <w:r w:rsidR="00FF0B6E">
        <w:t xml:space="preserve"> identity’)</w:t>
      </w:r>
      <w:r w:rsidR="00A37A73">
        <w:t xml:space="preserve">; </w:t>
      </w:r>
      <w:r w:rsidR="00A37A73">
        <w:rPr>
          <w:i/>
          <w:iCs/>
        </w:rPr>
        <w:t xml:space="preserve">Equal Opportunity Act 2010 </w:t>
      </w:r>
      <w:r w:rsidR="00A37A73">
        <w:t xml:space="preserve">(Vic), s 4 (definition of </w:t>
      </w:r>
      <w:proofErr w:type="spellStart"/>
      <w:r w:rsidR="00A37A73">
        <w:t>‘</w:t>
      </w:r>
      <w:r w:rsidR="005260E9">
        <w:t>gender</w:t>
      </w:r>
      <w:proofErr w:type="spellEnd"/>
      <w:r w:rsidR="005260E9">
        <w:t xml:space="preserve"> identity</w:t>
      </w:r>
      <w:r w:rsidR="00A37A73">
        <w:t xml:space="preserve">’) [as amended by the yet to commence </w:t>
      </w:r>
      <w:r w:rsidR="00A37A73">
        <w:rPr>
          <w:i/>
          <w:iCs/>
        </w:rPr>
        <w:t xml:space="preserve">Change or Suppression (Conversion) Practices Prohibition Act 2021 </w:t>
      </w:r>
      <w:r w:rsidR="00A37A73">
        <w:t>(Vic)].</w:t>
      </w:r>
    </w:p>
  </w:footnote>
  <w:footnote w:id="18">
    <w:p w14:paraId="71EA99A4" w14:textId="3B7F07D2" w:rsidR="006022C9" w:rsidRDefault="006022C9">
      <w:pPr>
        <w:pStyle w:val="FootnoteText"/>
      </w:pPr>
      <w:r>
        <w:rPr>
          <w:rStyle w:val="FootnoteReference"/>
        </w:rPr>
        <w:footnoteRef/>
      </w:r>
      <w:r>
        <w:t xml:space="preserve"> </w:t>
      </w:r>
      <w:r>
        <w:rPr>
          <w:i/>
          <w:iCs/>
        </w:rPr>
        <w:t xml:space="preserve">Discrimination Act 1991 </w:t>
      </w:r>
      <w:r>
        <w:t xml:space="preserve">(ACT), Dictionary (definition of ‘sex characteristics’); </w:t>
      </w:r>
      <w:r w:rsidR="00FF0B6E">
        <w:rPr>
          <w:i/>
          <w:iCs/>
        </w:rPr>
        <w:t xml:space="preserve">Equal Opportunity Act 2010 </w:t>
      </w:r>
      <w:r w:rsidR="00FF0B6E">
        <w:t xml:space="preserve">(Vic), s 4 (definition of ‘sex characteristics’) [as amended by the yet to commence </w:t>
      </w:r>
      <w:r w:rsidR="00FF0B6E">
        <w:rPr>
          <w:i/>
          <w:iCs/>
        </w:rPr>
        <w:t xml:space="preserve">Change or Suppression (Conversion) Practices Prohibition Act 2021 </w:t>
      </w:r>
      <w:r w:rsidR="00FF0B6E">
        <w:t xml:space="preserve">(Vic)]; </w:t>
      </w:r>
      <w:r>
        <w:rPr>
          <w:i/>
          <w:iCs/>
        </w:rPr>
        <w:t xml:space="preserve">Anti-Discrimination Act 1998 </w:t>
      </w:r>
      <w:r>
        <w:t>(Tas)</w:t>
      </w:r>
      <w:r>
        <w:rPr>
          <w:i/>
          <w:iCs/>
        </w:rPr>
        <w:t xml:space="preserve">, </w:t>
      </w:r>
      <w:r>
        <w:t>s 3 (definition of ‘</w:t>
      </w:r>
      <w:r w:rsidR="00FF0B6E">
        <w:t>intersex variations of sex characteristics</w:t>
      </w:r>
      <w:r>
        <w:t>’)</w:t>
      </w:r>
      <w:r w:rsidR="00FF0B6E">
        <w:t>.  See also, now out of date definitions in</w:t>
      </w:r>
      <w:r>
        <w:t xml:space="preserve"> </w:t>
      </w:r>
      <w:r>
        <w:rPr>
          <w:i/>
          <w:iCs/>
        </w:rPr>
        <w:t xml:space="preserve">Acts Interpretation Act 1915 </w:t>
      </w:r>
      <w:r>
        <w:t>(SA), s 4(1) (definition of ‘</w:t>
      </w:r>
      <w:r w:rsidR="00FF0B6E">
        <w:t>intersex status</w:t>
      </w:r>
      <w:r>
        <w:t>’)</w:t>
      </w:r>
      <w:r w:rsidR="00FF0B6E">
        <w:t xml:space="preserve"> and</w:t>
      </w:r>
      <w:r>
        <w:t xml:space="preserve"> </w:t>
      </w:r>
      <w:r>
        <w:rPr>
          <w:i/>
          <w:iCs/>
        </w:rPr>
        <w:t xml:space="preserve">Sex Discrimination Act 1984 </w:t>
      </w:r>
      <w:r>
        <w:t>(</w:t>
      </w:r>
      <w:proofErr w:type="spellStart"/>
      <w:r>
        <w:t>Cth</w:t>
      </w:r>
      <w:proofErr w:type="spellEnd"/>
      <w:r>
        <w:t>), s 4(1)</w:t>
      </w:r>
      <w:r w:rsidR="00FF0B6E">
        <w:t xml:space="preserve"> (definition of ‘intersex status’)</w:t>
      </w:r>
      <w:r>
        <w:t>.</w:t>
      </w:r>
    </w:p>
  </w:footnote>
  <w:footnote w:id="19">
    <w:p w14:paraId="4A60D88E" w14:textId="4271027B" w:rsidR="00A71C88" w:rsidRDefault="00A71C88">
      <w:pPr>
        <w:pStyle w:val="FootnoteText"/>
      </w:pPr>
      <w:r>
        <w:rPr>
          <w:rStyle w:val="FootnoteReference"/>
        </w:rPr>
        <w:footnoteRef/>
      </w:r>
      <w:r>
        <w:t xml:space="preserve"> </w:t>
      </w:r>
      <w:r w:rsidR="00B65C51">
        <w:t xml:space="preserve">Legislative Assembly </w:t>
      </w:r>
      <w:r w:rsidR="00C862CB">
        <w:t>Legal and Social Issues Committee (</w:t>
      </w:r>
      <w:r w:rsidR="0049187A">
        <w:t>2021</w:t>
      </w:r>
      <w:r w:rsidR="00C862CB">
        <w:t xml:space="preserve">) </w:t>
      </w:r>
      <w:hyperlink r:id="rId16" w:history="1">
        <w:r w:rsidR="00C862CB" w:rsidRPr="00B65C51">
          <w:rPr>
            <w:rStyle w:val="Hyperlink"/>
            <w:i/>
            <w:iCs/>
          </w:rPr>
          <w:t>Inquiry into Anti-Vilification Protections</w:t>
        </w:r>
      </w:hyperlink>
      <w:r w:rsidR="00C862CB">
        <w:rPr>
          <w:i/>
          <w:iCs/>
        </w:rPr>
        <w:t>,</w:t>
      </w:r>
      <w:r w:rsidR="00C862CB">
        <w:t xml:space="preserve"> </w:t>
      </w:r>
      <w:r w:rsidR="00611333">
        <w:t xml:space="preserve">Melbourne: Parliament of Victoria, </w:t>
      </w:r>
      <w:r w:rsidR="00C862CB">
        <w:t>R</w:t>
      </w:r>
      <w:r>
        <w:t>ec</w:t>
      </w:r>
      <w:r w:rsidR="00C862CB">
        <w:t>ommendations</w:t>
      </w:r>
      <w:r>
        <w:t xml:space="preserve"> 9 and 10.</w:t>
      </w:r>
    </w:p>
  </w:footnote>
  <w:footnote w:id="20">
    <w:p w14:paraId="3B1AC5F9" w14:textId="11A1B679" w:rsidR="0091017B" w:rsidRPr="00E25B42" w:rsidRDefault="0091017B">
      <w:pPr>
        <w:pStyle w:val="FootnoteText"/>
      </w:pPr>
      <w:r>
        <w:rPr>
          <w:rStyle w:val="FootnoteReference"/>
        </w:rPr>
        <w:footnoteRef/>
      </w:r>
      <w:r>
        <w:t xml:space="preserve"> </w:t>
      </w:r>
      <w:r w:rsidR="00804013">
        <w:rPr>
          <w:i/>
          <w:iCs/>
        </w:rPr>
        <w:t xml:space="preserve">Crimes (Sentencing Procedure) Act 1999 </w:t>
      </w:r>
      <w:r w:rsidR="00804013">
        <w:t>(NSW), s 21A(2)(h)</w:t>
      </w:r>
      <w:r w:rsidR="00BA3E5C">
        <w:t xml:space="preserve"> (aggravating factors)</w:t>
      </w:r>
      <w:r w:rsidR="00804013">
        <w:t xml:space="preserve">; </w:t>
      </w:r>
      <w:r w:rsidR="00804013">
        <w:rPr>
          <w:i/>
          <w:iCs/>
        </w:rPr>
        <w:t xml:space="preserve">Sentencing Act 1995 </w:t>
      </w:r>
      <w:r w:rsidR="00804013">
        <w:t>(NT), s 6A(e)</w:t>
      </w:r>
      <w:r w:rsidR="00192A4F">
        <w:t xml:space="preserve"> (aggravating factors)</w:t>
      </w:r>
      <w:r w:rsidR="00E25B42">
        <w:t xml:space="preserve">; </w:t>
      </w:r>
      <w:r w:rsidR="00E25B42">
        <w:rPr>
          <w:i/>
          <w:iCs/>
        </w:rPr>
        <w:t xml:space="preserve">Sentencing Act 1991 </w:t>
      </w:r>
      <w:r w:rsidR="00E25B42">
        <w:t>(Vic), s 5(</w:t>
      </w:r>
      <w:proofErr w:type="gramStart"/>
      <w:r w:rsidR="00E25B42">
        <w:t>2)(</w:t>
      </w:r>
      <w:proofErr w:type="spellStart"/>
      <w:proofErr w:type="gramEnd"/>
      <w:r w:rsidR="00E25B42">
        <w:t>daaa</w:t>
      </w:r>
      <w:proofErr w:type="spellEnd"/>
      <w:r w:rsidR="00E25B42">
        <w:t>).</w:t>
      </w:r>
    </w:p>
  </w:footnote>
  <w:footnote w:id="21">
    <w:p w14:paraId="13B5BEC0" w14:textId="34A9C902" w:rsidR="00845A58" w:rsidRDefault="00845A58">
      <w:pPr>
        <w:pStyle w:val="FootnoteText"/>
      </w:pPr>
      <w:r>
        <w:rPr>
          <w:rStyle w:val="FootnoteReference"/>
        </w:rPr>
        <w:footnoteRef/>
      </w:r>
      <w:r>
        <w:t xml:space="preserve"> </w:t>
      </w:r>
      <w:r w:rsidR="00825F50">
        <w:t>Legislative Assembly Legal and Social Issues Committee (</w:t>
      </w:r>
      <w:r w:rsidR="0049187A">
        <w:t>2021</w:t>
      </w:r>
      <w:r w:rsidR="00825F50">
        <w:t xml:space="preserve">) </w:t>
      </w:r>
      <w:hyperlink r:id="rId17" w:history="1">
        <w:r w:rsidR="00825F50" w:rsidRPr="00B65C51">
          <w:rPr>
            <w:rStyle w:val="Hyperlink"/>
            <w:i/>
            <w:iCs/>
          </w:rPr>
          <w:t>Inquiry into Anti-Vilification Protections</w:t>
        </w:r>
      </w:hyperlink>
      <w:r w:rsidR="00825F50">
        <w:rPr>
          <w:i/>
          <w:iCs/>
        </w:rPr>
        <w:t>,</w:t>
      </w:r>
      <w:r w:rsidR="00825F50">
        <w:t xml:space="preserve"> Melbourne: Parliament of Victoria, Recommendations</w:t>
      </w:r>
      <w:r>
        <w:t xml:space="preserve"> 8</w:t>
      </w:r>
      <w:r w:rsidR="006B5B44">
        <w:t xml:space="preserve"> and 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928B" w14:textId="77777777" w:rsidR="003C4AA4" w:rsidRDefault="003C4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8069" w14:textId="27FA80F5" w:rsidR="00EC06BA" w:rsidRDefault="00EC06BA" w:rsidP="00CA34DF">
    <w:pPr>
      <w:pStyle w:val="Header"/>
    </w:pPr>
    <w:r>
      <w:rPr>
        <w:noProof/>
      </w:rPr>
      <w:drawing>
        <wp:anchor distT="0" distB="0" distL="114300" distR="114300" simplePos="0" relativeHeight="251658240" behindDoc="1" locked="1" layoutInCell="1" allowOverlap="1" wp14:anchorId="50320FF1" wp14:editId="23DFFCAA">
          <wp:simplePos x="1258784" y="522514"/>
          <wp:positionH relativeFrom="page">
            <wp:align>left</wp:align>
          </wp:positionH>
          <wp:positionV relativeFrom="page">
            <wp:align>top</wp:align>
          </wp:positionV>
          <wp:extent cx="7559040" cy="1068832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AU Report simple covers_Page_1.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83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0874" w14:textId="77777777" w:rsidR="003C4AA4" w:rsidRDefault="003C4A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FE6C" w14:textId="70C016C3" w:rsidR="00EC06BA" w:rsidRDefault="00EC06BA" w:rsidP="00CA3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C079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509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5A16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3429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4645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9044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D249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418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CC23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5CD4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B2F14"/>
    <w:multiLevelType w:val="hybridMultilevel"/>
    <w:tmpl w:val="8078F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7B0BC6"/>
    <w:multiLevelType w:val="hybridMultilevel"/>
    <w:tmpl w:val="99FA84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844748"/>
    <w:multiLevelType w:val="hybridMultilevel"/>
    <w:tmpl w:val="486846B2"/>
    <w:lvl w:ilvl="0" w:tplc="EE5CBFB0">
      <w:start w:val="1"/>
      <w:numFmt w:val="bullet"/>
      <w:pStyle w:val="Bullet"/>
      <w:lvlText w:val=""/>
      <w:lvlJc w:val="left"/>
      <w:pPr>
        <w:ind w:left="146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434E7A"/>
    <w:multiLevelType w:val="hybridMultilevel"/>
    <w:tmpl w:val="B420C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0C05A3"/>
    <w:multiLevelType w:val="hybridMultilevel"/>
    <w:tmpl w:val="F814C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3C78DF"/>
    <w:multiLevelType w:val="hybridMultilevel"/>
    <w:tmpl w:val="FEC6C0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852403"/>
    <w:multiLevelType w:val="multilevel"/>
    <w:tmpl w:val="ECAAE00C"/>
    <w:lvl w:ilvl="0">
      <w:start w:val="1"/>
      <w:numFmt w:val="decimal"/>
      <w:pStyle w:val="Heading1"/>
      <w:lvlText w:val="%1."/>
      <w:lvlJc w:val="left"/>
      <w:pPr>
        <w:tabs>
          <w:tab w:val="num" w:pos="567"/>
        </w:tabs>
        <w:ind w:left="567" w:hanging="567"/>
      </w:pPr>
      <w:rPr>
        <w:rFonts w:hint="default"/>
      </w:rPr>
    </w:lvl>
    <w:lvl w:ilvl="1">
      <w:start w:val="1"/>
      <w:numFmt w:val="lowerLetter"/>
      <w:pStyle w:val="Heading2"/>
      <w:lvlText w:val="(%2)"/>
      <w:lvlJc w:val="left"/>
      <w:pPr>
        <w:tabs>
          <w:tab w:val="num" w:pos="1100"/>
        </w:tabs>
        <w:ind w:left="1100" w:hanging="53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F9787A"/>
    <w:multiLevelType w:val="hybridMultilevel"/>
    <w:tmpl w:val="62561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5F6A34"/>
    <w:multiLevelType w:val="hybridMultilevel"/>
    <w:tmpl w:val="393C4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D91E19"/>
    <w:multiLevelType w:val="hybridMultilevel"/>
    <w:tmpl w:val="B1ACBD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7"/>
  </w:num>
  <w:num w:numId="14">
    <w:abstractNumId w:val="19"/>
  </w:num>
  <w:num w:numId="15">
    <w:abstractNumId w:val="11"/>
  </w:num>
  <w:num w:numId="16">
    <w:abstractNumId w:val="13"/>
  </w:num>
  <w:num w:numId="17">
    <w:abstractNumId w:val="18"/>
  </w:num>
  <w:num w:numId="18">
    <w:abstractNumId w:val="10"/>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efaultTableStyle w:val="EQAUTable"/>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5D5"/>
    <w:rsid w:val="000011E3"/>
    <w:rsid w:val="00004862"/>
    <w:rsid w:val="00007209"/>
    <w:rsid w:val="0001380D"/>
    <w:rsid w:val="000274BB"/>
    <w:rsid w:val="00032E27"/>
    <w:rsid w:val="00033143"/>
    <w:rsid w:val="00047EBD"/>
    <w:rsid w:val="00052C6B"/>
    <w:rsid w:val="00057283"/>
    <w:rsid w:val="00062FA6"/>
    <w:rsid w:val="00065945"/>
    <w:rsid w:val="00071C72"/>
    <w:rsid w:val="00072E4F"/>
    <w:rsid w:val="00076674"/>
    <w:rsid w:val="000829D5"/>
    <w:rsid w:val="00083028"/>
    <w:rsid w:val="00087F0B"/>
    <w:rsid w:val="00093628"/>
    <w:rsid w:val="000A31D9"/>
    <w:rsid w:val="000A416A"/>
    <w:rsid w:val="000A47D2"/>
    <w:rsid w:val="000A498E"/>
    <w:rsid w:val="000B6ED5"/>
    <w:rsid w:val="000B7627"/>
    <w:rsid w:val="000C3022"/>
    <w:rsid w:val="000C3566"/>
    <w:rsid w:val="000D1DB0"/>
    <w:rsid w:val="000D3BFC"/>
    <w:rsid w:val="000D5551"/>
    <w:rsid w:val="000D6FA3"/>
    <w:rsid w:val="000E2105"/>
    <w:rsid w:val="000E2790"/>
    <w:rsid w:val="000E3298"/>
    <w:rsid w:val="000E4936"/>
    <w:rsid w:val="000E79F1"/>
    <w:rsid w:val="000F2008"/>
    <w:rsid w:val="000F52F6"/>
    <w:rsid w:val="0010175C"/>
    <w:rsid w:val="00105CFE"/>
    <w:rsid w:val="00111645"/>
    <w:rsid w:val="001116F5"/>
    <w:rsid w:val="001139A8"/>
    <w:rsid w:val="0011419A"/>
    <w:rsid w:val="00116452"/>
    <w:rsid w:val="001212CA"/>
    <w:rsid w:val="00121412"/>
    <w:rsid w:val="00121FD1"/>
    <w:rsid w:val="001276A0"/>
    <w:rsid w:val="0013293D"/>
    <w:rsid w:val="001329D6"/>
    <w:rsid w:val="00133064"/>
    <w:rsid w:val="00133877"/>
    <w:rsid w:val="00135F8D"/>
    <w:rsid w:val="001504CB"/>
    <w:rsid w:val="001562BE"/>
    <w:rsid w:val="00163399"/>
    <w:rsid w:val="00167645"/>
    <w:rsid w:val="001720C2"/>
    <w:rsid w:val="0017377A"/>
    <w:rsid w:val="00173EE5"/>
    <w:rsid w:val="001743D5"/>
    <w:rsid w:val="00181B38"/>
    <w:rsid w:val="001839A8"/>
    <w:rsid w:val="00190443"/>
    <w:rsid w:val="0019158A"/>
    <w:rsid w:val="00192A4F"/>
    <w:rsid w:val="001932DA"/>
    <w:rsid w:val="00193325"/>
    <w:rsid w:val="001B0B5D"/>
    <w:rsid w:val="001B696F"/>
    <w:rsid w:val="001C112F"/>
    <w:rsid w:val="001C5BB9"/>
    <w:rsid w:val="001C7D71"/>
    <w:rsid w:val="001D1A15"/>
    <w:rsid w:val="001D71C8"/>
    <w:rsid w:val="001E18B4"/>
    <w:rsid w:val="001E1D72"/>
    <w:rsid w:val="001E4D80"/>
    <w:rsid w:val="001F03C4"/>
    <w:rsid w:val="001F2E22"/>
    <w:rsid w:val="002001C6"/>
    <w:rsid w:val="002003B4"/>
    <w:rsid w:val="00203F43"/>
    <w:rsid w:val="00205956"/>
    <w:rsid w:val="00206A53"/>
    <w:rsid w:val="00212547"/>
    <w:rsid w:val="002155EA"/>
    <w:rsid w:val="00217179"/>
    <w:rsid w:val="002232B0"/>
    <w:rsid w:val="00223F49"/>
    <w:rsid w:val="00233B95"/>
    <w:rsid w:val="00237FE8"/>
    <w:rsid w:val="00240B47"/>
    <w:rsid w:val="00251138"/>
    <w:rsid w:val="00260A5B"/>
    <w:rsid w:val="00261037"/>
    <w:rsid w:val="00262E6C"/>
    <w:rsid w:val="002665DC"/>
    <w:rsid w:val="002700E7"/>
    <w:rsid w:val="00270A13"/>
    <w:rsid w:val="00275CFE"/>
    <w:rsid w:val="002774B3"/>
    <w:rsid w:val="00280A9E"/>
    <w:rsid w:val="00290F06"/>
    <w:rsid w:val="0029584C"/>
    <w:rsid w:val="0029688D"/>
    <w:rsid w:val="002A2CB7"/>
    <w:rsid w:val="002B0CED"/>
    <w:rsid w:val="002B28EC"/>
    <w:rsid w:val="002B2FD2"/>
    <w:rsid w:val="002C0FC8"/>
    <w:rsid w:val="002C1544"/>
    <w:rsid w:val="002C1BD0"/>
    <w:rsid w:val="002C272C"/>
    <w:rsid w:val="002C3F65"/>
    <w:rsid w:val="002C6022"/>
    <w:rsid w:val="002D08F7"/>
    <w:rsid w:val="002D2E8E"/>
    <w:rsid w:val="002D3137"/>
    <w:rsid w:val="002E0DCF"/>
    <w:rsid w:val="002E126D"/>
    <w:rsid w:val="002E2879"/>
    <w:rsid w:val="002E548E"/>
    <w:rsid w:val="002E5F14"/>
    <w:rsid w:val="002E77E5"/>
    <w:rsid w:val="002F1FE4"/>
    <w:rsid w:val="002F4BBB"/>
    <w:rsid w:val="003022CF"/>
    <w:rsid w:val="003053F0"/>
    <w:rsid w:val="003107CE"/>
    <w:rsid w:val="003111E5"/>
    <w:rsid w:val="0031211D"/>
    <w:rsid w:val="00313132"/>
    <w:rsid w:val="00313349"/>
    <w:rsid w:val="003142D4"/>
    <w:rsid w:val="0031456C"/>
    <w:rsid w:val="00315976"/>
    <w:rsid w:val="0031655E"/>
    <w:rsid w:val="003179A0"/>
    <w:rsid w:val="00325393"/>
    <w:rsid w:val="00326F9D"/>
    <w:rsid w:val="00337671"/>
    <w:rsid w:val="0034273A"/>
    <w:rsid w:val="00345159"/>
    <w:rsid w:val="00345DAD"/>
    <w:rsid w:val="0034672E"/>
    <w:rsid w:val="003479AA"/>
    <w:rsid w:val="003538C8"/>
    <w:rsid w:val="00357815"/>
    <w:rsid w:val="00360E8F"/>
    <w:rsid w:val="0037085A"/>
    <w:rsid w:val="003709F8"/>
    <w:rsid w:val="00371BDD"/>
    <w:rsid w:val="003722E9"/>
    <w:rsid w:val="00372C59"/>
    <w:rsid w:val="00381E0B"/>
    <w:rsid w:val="00390E64"/>
    <w:rsid w:val="00394D14"/>
    <w:rsid w:val="00396EA6"/>
    <w:rsid w:val="00397559"/>
    <w:rsid w:val="003A377A"/>
    <w:rsid w:val="003A43B0"/>
    <w:rsid w:val="003A5FA2"/>
    <w:rsid w:val="003C2F0B"/>
    <w:rsid w:val="003C3B3A"/>
    <w:rsid w:val="003C4AA4"/>
    <w:rsid w:val="003C550C"/>
    <w:rsid w:val="003C5EA8"/>
    <w:rsid w:val="003C68D6"/>
    <w:rsid w:val="003D14C0"/>
    <w:rsid w:val="003D4DD6"/>
    <w:rsid w:val="003D70A1"/>
    <w:rsid w:val="003E6C09"/>
    <w:rsid w:val="003F22A6"/>
    <w:rsid w:val="003F69D1"/>
    <w:rsid w:val="00400005"/>
    <w:rsid w:val="0040165E"/>
    <w:rsid w:val="0040205D"/>
    <w:rsid w:val="00413818"/>
    <w:rsid w:val="004153C1"/>
    <w:rsid w:val="00420764"/>
    <w:rsid w:val="00420C04"/>
    <w:rsid w:val="004305CE"/>
    <w:rsid w:val="00434D8D"/>
    <w:rsid w:val="00437E8D"/>
    <w:rsid w:val="00440054"/>
    <w:rsid w:val="00445C9A"/>
    <w:rsid w:val="0044771E"/>
    <w:rsid w:val="00447974"/>
    <w:rsid w:val="00450B92"/>
    <w:rsid w:val="004517E8"/>
    <w:rsid w:val="004607D5"/>
    <w:rsid w:val="004634E6"/>
    <w:rsid w:val="00463717"/>
    <w:rsid w:val="0047323B"/>
    <w:rsid w:val="00473819"/>
    <w:rsid w:val="00481ECD"/>
    <w:rsid w:val="00482536"/>
    <w:rsid w:val="0049187A"/>
    <w:rsid w:val="00492F11"/>
    <w:rsid w:val="004935E5"/>
    <w:rsid w:val="00494FE2"/>
    <w:rsid w:val="004B08F9"/>
    <w:rsid w:val="004B79AE"/>
    <w:rsid w:val="004C0AF9"/>
    <w:rsid w:val="004C1039"/>
    <w:rsid w:val="004C2DEA"/>
    <w:rsid w:val="004C5101"/>
    <w:rsid w:val="004D1FB7"/>
    <w:rsid w:val="004D51EE"/>
    <w:rsid w:val="004D57FC"/>
    <w:rsid w:val="004D76AE"/>
    <w:rsid w:val="004E0A10"/>
    <w:rsid w:val="004E0F07"/>
    <w:rsid w:val="004E545B"/>
    <w:rsid w:val="004E5E07"/>
    <w:rsid w:val="004E6DF7"/>
    <w:rsid w:val="004E782B"/>
    <w:rsid w:val="004F0B17"/>
    <w:rsid w:val="004F1393"/>
    <w:rsid w:val="004F4D1B"/>
    <w:rsid w:val="004F692A"/>
    <w:rsid w:val="00502918"/>
    <w:rsid w:val="00510FAF"/>
    <w:rsid w:val="0051104E"/>
    <w:rsid w:val="00525A01"/>
    <w:rsid w:val="005260E9"/>
    <w:rsid w:val="00526458"/>
    <w:rsid w:val="005375D5"/>
    <w:rsid w:val="00542C02"/>
    <w:rsid w:val="00552DAA"/>
    <w:rsid w:val="00552E7A"/>
    <w:rsid w:val="00553366"/>
    <w:rsid w:val="00557165"/>
    <w:rsid w:val="005571D3"/>
    <w:rsid w:val="00557C72"/>
    <w:rsid w:val="00560486"/>
    <w:rsid w:val="00563C12"/>
    <w:rsid w:val="005655FD"/>
    <w:rsid w:val="0056579C"/>
    <w:rsid w:val="00570B2F"/>
    <w:rsid w:val="00572DB9"/>
    <w:rsid w:val="00574201"/>
    <w:rsid w:val="0058240A"/>
    <w:rsid w:val="00590E08"/>
    <w:rsid w:val="00592481"/>
    <w:rsid w:val="00592941"/>
    <w:rsid w:val="00593B9C"/>
    <w:rsid w:val="0059490F"/>
    <w:rsid w:val="005972DD"/>
    <w:rsid w:val="005A0098"/>
    <w:rsid w:val="005A713E"/>
    <w:rsid w:val="005B3E6B"/>
    <w:rsid w:val="005B56E7"/>
    <w:rsid w:val="005B615F"/>
    <w:rsid w:val="005C09CC"/>
    <w:rsid w:val="005C26EE"/>
    <w:rsid w:val="005C5D80"/>
    <w:rsid w:val="005E79FF"/>
    <w:rsid w:val="005F02A1"/>
    <w:rsid w:val="005F0A6C"/>
    <w:rsid w:val="005F7140"/>
    <w:rsid w:val="005F76C5"/>
    <w:rsid w:val="005F7FA1"/>
    <w:rsid w:val="006022C9"/>
    <w:rsid w:val="00602787"/>
    <w:rsid w:val="006027A7"/>
    <w:rsid w:val="00604990"/>
    <w:rsid w:val="00606061"/>
    <w:rsid w:val="006102A9"/>
    <w:rsid w:val="00611333"/>
    <w:rsid w:val="00611CAC"/>
    <w:rsid w:val="00620EBE"/>
    <w:rsid w:val="00626F5B"/>
    <w:rsid w:val="00627E76"/>
    <w:rsid w:val="006450DE"/>
    <w:rsid w:val="006527C4"/>
    <w:rsid w:val="00652B90"/>
    <w:rsid w:val="0065353F"/>
    <w:rsid w:val="00654EDD"/>
    <w:rsid w:val="00655B74"/>
    <w:rsid w:val="0067246F"/>
    <w:rsid w:val="00672487"/>
    <w:rsid w:val="00681BA5"/>
    <w:rsid w:val="006835AA"/>
    <w:rsid w:val="00684B49"/>
    <w:rsid w:val="00686471"/>
    <w:rsid w:val="006A0E07"/>
    <w:rsid w:val="006A0ECA"/>
    <w:rsid w:val="006A4F85"/>
    <w:rsid w:val="006B07D6"/>
    <w:rsid w:val="006B2FB1"/>
    <w:rsid w:val="006B5B44"/>
    <w:rsid w:val="006B6EB3"/>
    <w:rsid w:val="006C1457"/>
    <w:rsid w:val="006D0696"/>
    <w:rsid w:val="006D4F62"/>
    <w:rsid w:val="006D6387"/>
    <w:rsid w:val="006E177B"/>
    <w:rsid w:val="006E4F9D"/>
    <w:rsid w:val="006E619D"/>
    <w:rsid w:val="006E6765"/>
    <w:rsid w:val="006E79E5"/>
    <w:rsid w:val="006F62FF"/>
    <w:rsid w:val="00704F67"/>
    <w:rsid w:val="00711FBC"/>
    <w:rsid w:val="00720C7F"/>
    <w:rsid w:val="007217BC"/>
    <w:rsid w:val="00724389"/>
    <w:rsid w:val="0073019F"/>
    <w:rsid w:val="00735275"/>
    <w:rsid w:val="00735402"/>
    <w:rsid w:val="0073795D"/>
    <w:rsid w:val="007421F2"/>
    <w:rsid w:val="00743734"/>
    <w:rsid w:val="00746BFF"/>
    <w:rsid w:val="00747163"/>
    <w:rsid w:val="00753BB7"/>
    <w:rsid w:val="00755440"/>
    <w:rsid w:val="007554CA"/>
    <w:rsid w:val="0076087C"/>
    <w:rsid w:val="007637F4"/>
    <w:rsid w:val="00764D83"/>
    <w:rsid w:val="007655AD"/>
    <w:rsid w:val="00766E79"/>
    <w:rsid w:val="00767452"/>
    <w:rsid w:val="00770E34"/>
    <w:rsid w:val="00773C07"/>
    <w:rsid w:val="007757A2"/>
    <w:rsid w:val="00776BE0"/>
    <w:rsid w:val="00777135"/>
    <w:rsid w:val="00785C84"/>
    <w:rsid w:val="00786352"/>
    <w:rsid w:val="00792562"/>
    <w:rsid w:val="00796822"/>
    <w:rsid w:val="007A2E51"/>
    <w:rsid w:val="007A4B5A"/>
    <w:rsid w:val="007A786C"/>
    <w:rsid w:val="007B41F3"/>
    <w:rsid w:val="007B618C"/>
    <w:rsid w:val="007C1DD3"/>
    <w:rsid w:val="007C6D55"/>
    <w:rsid w:val="007D2EAD"/>
    <w:rsid w:val="007D5F33"/>
    <w:rsid w:val="007E1B6F"/>
    <w:rsid w:val="007E328A"/>
    <w:rsid w:val="007E69B5"/>
    <w:rsid w:val="007F01F2"/>
    <w:rsid w:val="007F3616"/>
    <w:rsid w:val="007F42F7"/>
    <w:rsid w:val="007F4A11"/>
    <w:rsid w:val="007F7AB7"/>
    <w:rsid w:val="00803E71"/>
    <w:rsid w:val="00804013"/>
    <w:rsid w:val="00804B99"/>
    <w:rsid w:val="00813247"/>
    <w:rsid w:val="008145F6"/>
    <w:rsid w:val="008158E8"/>
    <w:rsid w:val="00816DC7"/>
    <w:rsid w:val="00822C18"/>
    <w:rsid w:val="00825F50"/>
    <w:rsid w:val="008279B1"/>
    <w:rsid w:val="00830801"/>
    <w:rsid w:val="00832C29"/>
    <w:rsid w:val="008347F4"/>
    <w:rsid w:val="0083605F"/>
    <w:rsid w:val="008379EC"/>
    <w:rsid w:val="008403FF"/>
    <w:rsid w:val="00840FED"/>
    <w:rsid w:val="0084568B"/>
    <w:rsid w:val="00845A58"/>
    <w:rsid w:val="00847584"/>
    <w:rsid w:val="00852E60"/>
    <w:rsid w:val="00853B1B"/>
    <w:rsid w:val="008545F4"/>
    <w:rsid w:val="008615B7"/>
    <w:rsid w:val="00861EE5"/>
    <w:rsid w:val="00881CE2"/>
    <w:rsid w:val="00897F81"/>
    <w:rsid w:val="008A12E9"/>
    <w:rsid w:val="008A2613"/>
    <w:rsid w:val="008A2EE6"/>
    <w:rsid w:val="008A4BAB"/>
    <w:rsid w:val="008A76E0"/>
    <w:rsid w:val="008B201F"/>
    <w:rsid w:val="008B2344"/>
    <w:rsid w:val="008B50BE"/>
    <w:rsid w:val="008B512A"/>
    <w:rsid w:val="008B5D1D"/>
    <w:rsid w:val="008C64BA"/>
    <w:rsid w:val="008C6644"/>
    <w:rsid w:val="008D0547"/>
    <w:rsid w:val="008D1848"/>
    <w:rsid w:val="008D2F69"/>
    <w:rsid w:val="008D531D"/>
    <w:rsid w:val="008D5926"/>
    <w:rsid w:val="008E5FA8"/>
    <w:rsid w:val="008E7714"/>
    <w:rsid w:val="008F7098"/>
    <w:rsid w:val="008F764D"/>
    <w:rsid w:val="00900384"/>
    <w:rsid w:val="00902C4D"/>
    <w:rsid w:val="00902F2F"/>
    <w:rsid w:val="00904024"/>
    <w:rsid w:val="009042E8"/>
    <w:rsid w:val="00906D66"/>
    <w:rsid w:val="0091017B"/>
    <w:rsid w:val="009150E2"/>
    <w:rsid w:val="00916181"/>
    <w:rsid w:val="009162A6"/>
    <w:rsid w:val="009176D4"/>
    <w:rsid w:val="00922E13"/>
    <w:rsid w:val="009240BC"/>
    <w:rsid w:val="009258B7"/>
    <w:rsid w:val="00927005"/>
    <w:rsid w:val="00927663"/>
    <w:rsid w:val="00927AE5"/>
    <w:rsid w:val="00935123"/>
    <w:rsid w:val="00937678"/>
    <w:rsid w:val="009402F3"/>
    <w:rsid w:val="0094230A"/>
    <w:rsid w:val="00947859"/>
    <w:rsid w:val="0095025C"/>
    <w:rsid w:val="00951964"/>
    <w:rsid w:val="009560D7"/>
    <w:rsid w:val="00956107"/>
    <w:rsid w:val="009574EA"/>
    <w:rsid w:val="0096243E"/>
    <w:rsid w:val="00962D19"/>
    <w:rsid w:val="009657F0"/>
    <w:rsid w:val="00973062"/>
    <w:rsid w:val="00982435"/>
    <w:rsid w:val="00983A87"/>
    <w:rsid w:val="009863CC"/>
    <w:rsid w:val="00992D6B"/>
    <w:rsid w:val="009A4B38"/>
    <w:rsid w:val="009B40C0"/>
    <w:rsid w:val="009B4526"/>
    <w:rsid w:val="009B725C"/>
    <w:rsid w:val="009B759A"/>
    <w:rsid w:val="009C0C33"/>
    <w:rsid w:val="009C1337"/>
    <w:rsid w:val="009C7AF6"/>
    <w:rsid w:val="009D0476"/>
    <w:rsid w:val="009D26BB"/>
    <w:rsid w:val="009D2A28"/>
    <w:rsid w:val="009D5589"/>
    <w:rsid w:val="009E1BC5"/>
    <w:rsid w:val="009E3025"/>
    <w:rsid w:val="009E41FD"/>
    <w:rsid w:val="009E5C67"/>
    <w:rsid w:val="009E7709"/>
    <w:rsid w:val="009F107E"/>
    <w:rsid w:val="009F14F6"/>
    <w:rsid w:val="009F7EE4"/>
    <w:rsid w:val="00A029F9"/>
    <w:rsid w:val="00A129AF"/>
    <w:rsid w:val="00A21DF3"/>
    <w:rsid w:val="00A23FBF"/>
    <w:rsid w:val="00A278C9"/>
    <w:rsid w:val="00A27B54"/>
    <w:rsid w:val="00A313AA"/>
    <w:rsid w:val="00A316BE"/>
    <w:rsid w:val="00A35D72"/>
    <w:rsid w:val="00A37A73"/>
    <w:rsid w:val="00A41A25"/>
    <w:rsid w:val="00A424E0"/>
    <w:rsid w:val="00A42992"/>
    <w:rsid w:val="00A50FA8"/>
    <w:rsid w:val="00A5326C"/>
    <w:rsid w:val="00A541E6"/>
    <w:rsid w:val="00A54EE5"/>
    <w:rsid w:val="00A61EDE"/>
    <w:rsid w:val="00A6616A"/>
    <w:rsid w:val="00A709DA"/>
    <w:rsid w:val="00A71C88"/>
    <w:rsid w:val="00A71D2A"/>
    <w:rsid w:val="00A8048E"/>
    <w:rsid w:val="00A84D7D"/>
    <w:rsid w:val="00A86E04"/>
    <w:rsid w:val="00A9422C"/>
    <w:rsid w:val="00AA1163"/>
    <w:rsid w:val="00AB3CB9"/>
    <w:rsid w:val="00AB4D07"/>
    <w:rsid w:val="00AB4E56"/>
    <w:rsid w:val="00AB69E7"/>
    <w:rsid w:val="00AD1496"/>
    <w:rsid w:val="00AD1BD8"/>
    <w:rsid w:val="00AD1E88"/>
    <w:rsid w:val="00AD47D6"/>
    <w:rsid w:val="00AD4EC0"/>
    <w:rsid w:val="00AD7A6A"/>
    <w:rsid w:val="00AE1348"/>
    <w:rsid w:val="00AE4C1E"/>
    <w:rsid w:val="00AE574E"/>
    <w:rsid w:val="00AF1BF0"/>
    <w:rsid w:val="00AF1ED7"/>
    <w:rsid w:val="00AF4EF9"/>
    <w:rsid w:val="00B00EFF"/>
    <w:rsid w:val="00B0459F"/>
    <w:rsid w:val="00B05149"/>
    <w:rsid w:val="00B12539"/>
    <w:rsid w:val="00B14630"/>
    <w:rsid w:val="00B176F7"/>
    <w:rsid w:val="00B22E6F"/>
    <w:rsid w:val="00B24D33"/>
    <w:rsid w:val="00B336D8"/>
    <w:rsid w:val="00B368F8"/>
    <w:rsid w:val="00B418D9"/>
    <w:rsid w:val="00B41F2B"/>
    <w:rsid w:val="00B431B5"/>
    <w:rsid w:val="00B45DEF"/>
    <w:rsid w:val="00B507D2"/>
    <w:rsid w:val="00B51690"/>
    <w:rsid w:val="00B54BB8"/>
    <w:rsid w:val="00B61080"/>
    <w:rsid w:val="00B6268D"/>
    <w:rsid w:val="00B629BE"/>
    <w:rsid w:val="00B648E1"/>
    <w:rsid w:val="00B65619"/>
    <w:rsid w:val="00B65C51"/>
    <w:rsid w:val="00B7398F"/>
    <w:rsid w:val="00B73A3E"/>
    <w:rsid w:val="00B77D0F"/>
    <w:rsid w:val="00B842C1"/>
    <w:rsid w:val="00B85FAF"/>
    <w:rsid w:val="00B86281"/>
    <w:rsid w:val="00B8712E"/>
    <w:rsid w:val="00BA18C5"/>
    <w:rsid w:val="00BA3AFD"/>
    <w:rsid w:val="00BA3E5C"/>
    <w:rsid w:val="00BA4DC8"/>
    <w:rsid w:val="00BB03A6"/>
    <w:rsid w:val="00BB115E"/>
    <w:rsid w:val="00BB3405"/>
    <w:rsid w:val="00BB79D2"/>
    <w:rsid w:val="00BC15C8"/>
    <w:rsid w:val="00BC26E0"/>
    <w:rsid w:val="00BC32F4"/>
    <w:rsid w:val="00BC5859"/>
    <w:rsid w:val="00BC5E96"/>
    <w:rsid w:val="00BC75BE"/>
    <w:rsid w:val="00BD16E2"/>
    <w:rsid w:val="00BD7117"/>
    <w:rsid w:val="00BE4563"/>
    <w:rsid w:val="00BE6801"/>
    <w:rsid w:val="00BE6FC6"/>
    <w:rsid w:val="00BE74A5"/>
    <w:rsid w:val="00BF02E4"/>
    <w:rsid w:val="00BF0C9E"/>
    <w:rsid w:val="00BF132E"/>
    <w:rsid w:val="00BF72B7"/>
    <w:rsid w:val="00BF7878"/>
    <w:rsid w:val="00C03497"/>
    <w:rsid w:val="00C149D4"/>
    <w:rsid w:val="00C218AD"/>
    <w:rsid w:val="00C22495"/>
    <w:rsid w:val="00C22A46"/>
    <w:rsid w:val="00C23E78"/>
    <w:rsid w:val="00C2466A"/>
    <w:rsid w:val="00C2680C"/>
    <w:rsid w:val="00C26BAF"/>
    <w:rsid w:val="00C3478B"/>
    <w:rsid w:val="00C355FC"/>
    <w:rsid w:val="00C403B8"/>
    <w:rsid w:val="00C412CF"/>
    <w:rsid w:val="00C555E8"/>
    <w:rsid w:val="00C55F3E"/>
    <w:rsid w:val="00C63E10"/>
    <w:rsid w:val="00C670AD"/>
    <w:rsid w:val="00C71A33"/>
    <w:rsid w:val="00C71CE9"/>
    <w:rsid w:val="00C72346"/>
    <w:rsid w:val="00C74D47"/>
    <w:rsid w:val="00C801DD"/>
    <w:rsid w:val="00C809B3"/>
    <w:rsid w:val="00C80E7A"/>
    <w:rsid w:val="00C82848"/>
    <w:rsid w:val="00C862CB"/>
    <w:rsid w:val="00C8659F"/>
    <w:rsid w:val="00C917CC"/>
    <w:rsid w:val="00C92011"/>
    <w:rsid w:val="00C925DF"/>
    <w:rsid w:val="00CA3165"/>
    <w:rsid w:val="00CA34DF"/>
    <w:rsid w:val="00CA46B6"/>
    <w:rsid w:val="00CA5F0F"/>
    <w:rsid w:val="00CB2A96"/>
    <w:rsid w:val="00CB74C7"/>
    <w:rsid w:val="00CC0848"/>
    <w:rsid w:val="00CC4060"/>
    <w:rsid w:val="00CC61AB"/>
    <w:rsid w:val="00CC6CB3"/>
    <w:rsid w:val="00CD735B"/>
    <w:rsid w:val="00CE615B"/>
    <w:rsid w:val="00CE6F2F"/>
    <w:rsid w:val="00CF0B1E"/>
    <w:rsid w:val="00D01894"/>
    <w:rsid w:val="00D02F89"/>
    <w:rsid w:val="00D03BE4"/>
    <w:rsid w:val="00D06491"/>
    <w:rsid w:val="00D0688D"/>
    <w:rsid w:val="00D105E2"/>
    <w:rsid w:val="00D11DBC"/>
    <w:rsid w:val="00D15BF8"/>
    <w:rsid w:val="00D17419"/>
    <w:rsid w:val="00D221E1"/>
    <w:rsid w:val="00D23A9B"/>
    <w:rsid w:val="00D25A20"/>
    <w:rsid w:val="00D32FF4"/>
    <w:rsid w:val="00D37149"/>
    <w:rsid w:val="00D51C48"/>
    <w:rsid w:val="00D6088E"/>
    <w:rsid w:val="00D639AB"/>
    <w:rsid w:val="00D64EE8"/>
    <w:rsid w:val="00D71EAA"/>
    <w:rsid w:val="00D80D4E"/>
    <w:rsid w:val="00D916F8"/>
    <w:rsid w:val="00D92008"/>
    <w:rsid w:val="00D94BE1"/>
    <w:rsid w:val="00D95FA6"/>
    <w:rsid w:val="00DA0A4C"/>
    <w:rsid w:val="00DA6B0C"/>
    <w:rsid w:val="00DC4301"/>
    <w:rsid w:val="00DC45D1"/>
    <w:rsid w:val="00DD7F1F"/>
    <w:rsid w:val="00DE2031"/>
    <w:rsid w:val="00DE24C1"/>
    <w:rsid w:val="00DE4518"/>
    <w:rsid w:val="00DE687E"/>
    <w:rsid w:val="00DE6A51"/>
    <w:rsid w:val="00DE7590"/>
    <w:rsid w:val="00DF0FF2"/>
    <w:rsid w:val="00DF13D7"/>
    <w:rsid w:val="00DF7687"/>
    <w:rsid w:val="00DF7F79"/>
    <w:rsid w:val="00E067CB"/>
    <w:rsid w:val="00E10579"/>
    <w:rsid w:val="00E111BA"/>
    <w:rsid w:val="00E11E59"/>
    <w:rsid w:val="00E2192E"/>
    <w:rsid w:val="00E22A0A"/>
    <w:rsid w:val="00E250EB"/>
    <w:rsid w:val="00E25850"/>
    <w:rsid w:val="00E25B42"/>
    <w:rsid w:val="00E337EE"/>
    <w:rsid w:val="00E34380"/>
    <w:rsid w:val="00E343F0"/>
    <w:rsid w:val="00E35798"/>
    <w:rsid w:val="00E4103F"/>
    <w:rsid w:val="00E44217"/>
    <w:rsid w:val="00E56AAC"/>
    <w:rsid w:val="00E61F4A"/>
    <w:rsid w:val="00E6211C"/>
    <w:rsid w:val="00E6262B"/>
    <w:rsid w:val="00E63E2F"/>
    <w:rsid w:val="00E65E9A"/>
    <w:rsid w:val="00E76393"/>
    <w:rsid w:val="00E772AB"/>
    <w:rsid w:val="00E80C83"/>
    <w:rsid w:val="00E815EA"/>
    <w:rsid w:val="00E856F3"/>
    <w:rsid w:val="00E875BB"/>
    <w:rsid w:val="00E90122"/>
    <w:rsid w:val="00E9743F"/>
    <w:rsid w:val="00EA50D1"/>
    <w:rsid w:val="00EB2284"/>
    <w:rsid w:val="00EB55A9"/>
    <w:rsid w:val="00EB6370"/>
    <w:rsid w:val="00EC06BA"/>
    <w:rsid w:val="00EC353D"/>
    <w:rsid w:val="00EC3BFF"/>
    <w:rsid w:val="00EC3E18"/>
    <w:rsid w:val="00EC550D"/>
    <w:rsid w:val="00EC57CC"/>
    <w:rsid w:val="00ED13FB"/>
    <w:rsid w:val="00EE5544"/>
    <w:rsid w:val="00EE7CD2"/>
    <w:rsid w:val="00EF13F3"/>
    <w:rsid w:val="00EF3B50"/>
    <w:rsid w:val="00F02CA6"/>
    <w:rsid w:val="00F057B6"/>
    <w:rsid w:val="00F1008B"/>
    <w:rsid w:val="00F14A8A"/>
    <w:rsid w:val="00F154A0"/>
    <w:rsid w:val="00F17B19"/>
    <w:rsid w:val="00F20039"/>
    <w:rsid w:val="00F2426A"/>
    <w:rsid w:val="00F265E0"/>
    <w:rsid w:val="00F26B64"/>
    <w:rsid w:val="00F27C13"/>
    <w:rsid w:val="00F323C3"/>
    <w:rsid w:val="00F33836"/>
    <w:rsid w:val="00F33B70"/>
    <w:rsid w:val="00F33DD0"/>
    <w:rsid w:val="00F34517"/>
    <w:rsid w:val="00F4367D"/>
    <w:rsid w:val="00F47B5F"/>
    <w:rsid w:val="00F54619"/>
    <w:rsid w:val="00F54ED3"/>
    <w:rsid w:val="00F61032"/>
    <w:rsid w:val="00F61D95"/>
    <w:rsid w:val="00F647A0"/>
    <w:rsid w:val="00F72CEE"/>
    <w:rsid w:val="00F7402C"/>
    <w:rsid w:val="00F82863"/>
    <w:rsid w:val="00F85C17"/>
    <w:rsid w:val="00F8731C"/>
    <w:rsid w:val="00F94473"/>
    <w:rsid w:val="00F97B58"/>
    <w:rsid w:val="00FA13EB"/>
    <w:rsid w:val="00FA33A7"/>
    <w:rsid w:val="00FB673A"/>
    <w:rsid w:val="00FC3D83"/>
    <w:rsid w:val="00FD0775"/>
    <w:rsid w:val="00FD2467"/>
    <w:rsid w:val="00FD3449"/>
    <w:rsid w:val="00FE422B"/>
    <w:rsid w:val="00FE4437"/>
    <w:rsid w:val="00FE67CE"/>
    <w:rsid w:val="00FF0B6E"/>
    <w:rsid w:val="00FF20A0"/>
    <w:rsid w:val="00FF3F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DC1DFB"/>
  <w14:defaultImageDpi w14:val="330"/>
  <w15:chartTrackingRefBased/>
  <w15:docId w15:val="{440D4616-CC82-4236-8D7D-D9B0F2E6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AA"/>
    <w:pPr>
      <w:spacing w:before="120" w:after="120" w:line="264" w:lineRule="auto"/>
    </w:pPr>
    <w:rPr>
      <w:spacing w:val="-2"/>
      <w:sz w:val="18"/>
    </w:rPr>
  </w:style>
  <w:style w:type="paragraph" w:styleId="Heading1">
    <w:name w:val="heading 1"/>
    <w:basedOn w:val="Normal"/>
    <w:next w:val="Normal"/>
    <w:link w:val="Heading1Char"/>
    <w:uiPriority w:val="9"/>
    <w:qFormat/>
    <w:rsid w:val="00CA34DF"/>
    <w:pPr>
      <w:keepNext/>
      <w:keepLines/>
      <w:numPr>
        <w:numId w:val="11"/>
      </w:numPr>
      <w:spacing w:before="300" w:after="100" w:line="216" w:lineRule="auto"/>
      <w:outlineLvl w:val="0"/>
    </w:pPr>
    <w:rPr>
      <w:rFonts w:ascii="Overpass" w:eastAsiaTheme="majorEastAsia" w:hAnsi="Overpass" w:cstheme="majorBidi"/>
      <w:caps/>
      <w:color w:val="000000" w:themeColor="text1"/>
      <w:sz w:val="30"/>
      <w:szCs w:val="32"/>
    </w:rPr>
  </w:style>
  <w:style w:type="paragraph" w:styleId="Heading2">
    <w:name w:val="heading 2"/>
    <w:basedOn w:val="Normal"/>
    <w:next w:val="Normal"/>
    <w:link w:val="Heading2Char"/>
    <w:uiPriority w:val="9"/>
    <w:unhideWhenUsed/>
    <w:qFormat/>
    <w:rsid w:val="00BB79D2"/>
    <w:pPr>
      <w:keepNext/>
      <w:keepLines/>
      <w:numPr>
        <w:ilvl w:val="1"/>
        <w:numId w:val="11"/>
      </w:numPr>
      <w:spacing w:before="180" w:after="0" w:line="216" w:lineRule="auto"/>
      <w:outlineLvl w:val="1"/>
    </w:pPr>
    <w:rPr>
      <w:rFonts w:ascii="Overpass" w:eastAsiaTheme="majorEastAsia" w:hAnsi="Overpass" w:cstheme="majorBidi"/>
      <w:sz w:val="24"/>
      <w:szCs w:val="26"/>
    </w:rPr>
  </w:style>
  <w:style w:type="paragraph" w:styleId="Heading3">
    <w:name w:val="heading 3"/>
    <w:basedOn w:val="Normal"/>
    <w:next w:val="Normal"/>
    <w:link w:val="Heading3Char"/>
    <w:uiPriority w:val="9"/>
    <w:unhideWhenUsed/>
    <w:qFormat/>
    <w:rsid w:val="00D11DBC"/>
    <w:pPr>
      <w:keepNext/>
      <w:keepLines/>
      <w:spacing w:before="180"/>
      <w:outlineLvl w:val="2"/>
    </w:pPr>
    <w:rPr>
      <w:rFonts w:asciiTheme="majorHAnsi" w:eastAsiaTheme="majorEastAsia" w:hAnsiTheme="majorHAnsi" w:cstheme="majorBidi"/>
      <w:caps/>
      <w:color w:val="B41EAA" w:themeColor="accent6"/>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5D5"/>
  </w:style>
  <w:style w:type="paragraph" w:styleId="Footer">
    <w:name w:val="footer"/>
    <w:basedOn w:val="Normal"/>
    <w:link w:val="FooterChar"/>
    <w:uiPriority w:val="99"/>
    <w:unhideWhenUsed/>
    <w:rsid w:val="008D531D"/>
    <w:pPr>
      <w:pBdr>
        <w:top w:val="single" w:sz="4" w:space="5" w:color="auto"/>
        <w:bottom w:val="single" w:sz="4" w:space="6" w:color="auto"/>
      </w:pBdr>
      <w:tabs>
        <w:tab w:val="center" w:pos="4680"/>
        <w:tab w:val="right" w:pos="9360"/>
      </w:tabs>
      <w:spacing w:before="0" w:after="220" w:line="204" w:lineRule="auto"/>
    </w:pPr>
    <w:rPr>
      <w:rFonts w:ascii="Overpass" w:hAnsi="Overpass"/>
      <w:color w:val="808080"/>
      <w:sz w:val="16"/>
    </w:rPr>
  </w:style>
  <w:style w:type="character" w:customStyle="1" w:styleId="FooterChar">
    <w:name w:val="Footer Char"/>
    <w:basedOn w:val="DefaultParagraphFont"/>
    <w:link w:val="Footer"/>
    <w:uiPriority w:val="99"/>
    <w:rsid w:val="008D531D"/>
    <w:rPr>
      <w:rFonts w:ascii="Overpass" w:hAnsi="Overpass"/>
      <w:color w:val="808080"/>
      <w:spacing w:val="-2"/>
      <w:sz w:val="16"/>
    </w:rPr>
  </w:style>
  <w:style w:type="paragraph" w:customStyle="1" w:styleId="Section">
    <w:name w:val="Section"/>
    <w:basedOn w:val="Normal"/>
    <w:uiPriority w:val="8"/>
    <w:qFormat/>
    <w:rsid w:val="00D11DBC"/>
    <w:pPr>
      <w:spacing w:line="204" w:lineRule="auto"/>
      <w:outlineLvl w:val="0"/>
    </w:pPr>
    <w:rPr>
      <w:rFonts w:asciiTheme="majorHAnsi" w:hAnsiTheme="majorHAnsi"/>
      <w:caps/>
      <w:color w:val="B41EAA" w:themeColor="accent6"/>
      <w:spacing w:val="0"/>
      <w:sz w:val="46"/>
    </w:rPr>
  </w:style>
  <w:style w:type="character" w:customStyle="1" w:styleId="Heading1Char">
    <w:name w:val="Heading 1 Char"/>
    <w:basedOn w:val="DefaultParagraphFont"/>
    <w:link w:val="Heading1"/>
    <w:uiPriority w:val="9"/>
    <w:rsid w:val="00CA34DF"/>
    <w:rPr>
      <w:rFonts w:ascii="Overpass" w:eastAsiaTheme="majorEastAsia" w:hAnsi="Overpass" w:cstheme="majorBidi"/>
      <w:caps/>
      <w:color w:val="000000" w:themeColor="text1"/>
      <w:spacing w:val="-2"/>
      <w:sz w:val="30"/>
      <w:szCs w:val="32"/>
    </w:rPr>
  </w:style>
  <w:style w:type="character" w:customStyle="1" w:styleId="Heading2Char">
    <w:name w:val="Heading 2 Char"/>
    <w:basedOn w:val="DefaultParagraphFont"/>
    <w:link w:val="Heading2"/>
    <w:uiPriority w:val="9"/>
    <w:rsid w:val="00BB79D2"/>
    <w:rPr>
      <w:rFonts w:ascii="Overpass" w:eastAsiaTheme="majorEastAsia" w:hAnsi="Overpass" w:cstheme="majorBidi"/>
      <w:spacing w:val="-2"/>
      <w:sz w:val="24"/>
      <w:szCs w:val="26"/>
    </w:rPr>
  </w:style>
  <w:style w:type="paragraph" w:customStyle="1" w:styleId="Bullet">
    <w:name w:val="Bullet"/>
    <w:basedOn w:val="Normal"/>
    <w:uiPriority w:val="1"/>
    <w:qFormat/>
    <w:rsid w:val="007D2EAD"/>
    <w:pPr>
      <w:numPr>
        <w:numId w:val="12"/>
      </w:numPr>
      <w:spacing w:before="100" w:after="100"/>
      <w:ind w:left="1384" w:hanging="284"/>
    </w:pPr>
  </w:style>
  <w:style w:type="character" w:customStyle="1" w:styleId="Heading3Char">
    <w:name w:val="Heading 3 Char"/>
    <w:basedOn w:val="DefaultParagraphFont"/>
    <w:link w:val="Heading3"/>
    <w:uiPriority w:val="9"/>
    <w:rsid w:val="00D11DBC"/>
    <w:rPr>
      <w:rFonts w:asciiTheme="majorHAnsi" w:eastAsiaTheme="majorEastAsia" w:hAnsiTheme="majorHAnsi" w:cstheme="majorBidi"/>
      <w:caps/>
      <w:color w:val="B41EAA" w:themeColor="accent6"/>
      <w:sz w:val="24"/>
      <w:szCs w:val="24"/>
    </w:rPr>
  </w:style>
  <w:style w:type="paragraph" w:customStyle="1" w:styleId="Tabletext">
    <w:name w:val="Table text"/>
    <w:basedOn w:val="Normal"/>
    <w:uiPriority w:val="1"/>
    <w:qFormat/>
    <w:rsid w:val="007D2EAD"/>
    <w:pPr>
      <w:spacing w:before="80" w:after="80" w:line="240" w:lineRule="auto"/>
    </w:pPr>
    <w:rPr>
      <w:sz w:val="14"/>
    </w:rPr>
  </w:style>
  <w:style w:type="paragraph" w:customStyle="1" w:styleId="Tableheading">
    <w:name w:val="Table heading"/>
    <w:basedOn w:val="Normal"/>
    <w:uiPriority w:val="1"/>
    <w:qFormat/>
    <w:rsid w:val="00BB79D2"/>
    <w:pPr>
      <w:spacing w:before="80" w:after="80" w:line="240" w:lineRule="auto"/>
    </w:pPr>
    <w:rPr>
      <w:rFonts w:ascii="Overpass" w:hAnsi="Overpass"/>
      <w:b/>
      <w:caps/>
      <w:sz w:val="16"/>
    </w:rPr>
  </w:style>
  <w:style w:type="paragraph" w:styleId="FootnoteText">
    <w:name w:val="footnote text"/>
    <w:basedOn w:val="Normal"/>
    <w:link w:val="FootnoteTextChar"/>
    <w:uiPriority w:val="99"/>
    <w:unhideWhenUsed/>
    <w:rsid w:val="00A86E04"/>
    <w:pPr>
      <w:spacing w:after="0" w:line="240" w:lineRule="auto"/>
    </w:pPr>
    <w:rPr>
      <w:sz w:val="14"/>
      <w:szCs w:val="20"/>
    </w:rPr>
  </w:style>
  <w:style w:type="character" w:customStyle="1" w:styleId="FootnoteTextChar">
    <w:name w:val="Footnote Text Char"/>
    <w:basedOn w:val="DefaultParagraphFont"/>
    <w:link w:val="FootnoteText"/>
    <w:uiPriority w:val="99"/>
    <w:rsid w:val="00A86E04"/>
    <w:rPr>
      <w:sz w:val="14"/>
      <w:szCs w:val="20"/>
    </w:rPr>
  </w:style>
  <w:style w:type="character" w:styleId="PageNumber">
    <w:name w:val="page number"/>
    <w:basedOn w:val="DefaultParagraphFont"/>
    <w:uiPriority w:val="99"/>
    <w:unhideWhenUsed/>
    <w:rsid w:val="005375D5"/>
  </w:style>
  <w:style w:type="paragraph" w:customStyle="1" w:styleId="Page">
    <w:name w:val="Page"/>
    <w:basedOn w:val="Normal"/>
    <w:uiPriority w:val="99"/>
    <w:rsid w:val="0031655E"/>
    <w:pPr>
      <w:spacing w:before="180"/>
    </w:pPr>
    <w:rPr>
      <w:caps/>
      <w:sz w:val="14"/>
    </w:rPr>
  </w:style>
  <w:style w:type="table" w:styleId="TableGrid">
    <w:name w:val="Table Grid"/>
    <w:basedOn w:val="TableNormal"/>
    <w:uiPriority w:val="39"/>
    <w:rsid w:val="00200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003B4"/>
    <w:pPr>
      <w:spacing w:after="0" w:line="240" w:lineRule="auto"/>
    </w:pPr>
    <w:tblPr>
      <w:tblStyleRowBandSize w:val="1"/>
      <w:tblStyleColBandSize w:val="1"/>
      <w:tblBorders>
        <w:top w:val="single" w:sz="4" w:space="0" w:color="00A0E6" w:themeColor="accent1"/>
        <w:left w:val="single" w:sz="4" w:space="0" w:color="00A0E6" w:themeColor="accent1"/>
        <w:bottom w:val="single" w:sz="4" w:space="0" w:color="00A0E6" w:themeColor="accent1"/>
        <w:right w:val="single" w:sz="4" w:space="0" w:color="00A0E6" w:themeColor="accent1"/>
      </w:tblBorders>
    </w:tblPr>
    <w:tblStylePr w:type="firstRow">
      <w:rPr>
        <w:b/>
        <w:bCs/>
        <w:color w:val="FFFFFF" w:themeColor="background1"/>
      </w:rPr>
      <w:tblPr/>
      <w:tcPr>
        <w:shd w:val="clear" w:color="auto" w:fill="00A0E6" w:themeFill="accent1"/>
      </w:tcPr>
    </w:tblStylePr>
    <w:tblStylePr w:type="lastRow">
      <w:rPr>
        <w:b/>
        <w:bCs/>
      </w:rPr>
      <w:tblPr/>
      <w:tcPr>
        <w:tcBorders>
          <w:top w:val="double" w:sz="4" w:space="0" w:color="00A0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E6" w:themeColor="accent1"/>
          <w:right w:val="single" w:sz="4" w:space="0" w:color="00A0E6" w:themeColor="accent1"/>
        </w:tcBorders>
      </w:tcPr>
    </w:tblStylePr>
    <w:tblStylePr w:type="band1Horz">
      <w:tblPr/>
      <w:tcPr>
        <w:tcBorders>
          <w:top w:val="single" w:sz="4" w:space="0" w:color="00A0E6" w:themeColor="accent1"/>
          <w:bottom w:val="single" w:sz="4" w:space="0" w:color="00A0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E6" w:themeColor="accent1"/>
          <w:left w:val="nil"/>
        </w:tcBorders>
      </w:tcPr>
    </w:tblStylePr>
    <w:tblStylePr w:type="swCell">
      <w:tblPr/>
      <w:tcPr>
        <w:tcBorders>
          <w:top w:val="double" w:sz="4" w:space="0" w:color="00A0E6" w:themeColor="accent1"/>
          <w:right w:val="nil"/>
        </w:tcBorders>
      </w:tcPr>
    </w:tblStylePr>
  </w:style>
  <w:style w:type="table" w:styleId="TableGridLight">
    <w:name w:val="Grid Table Light"/>
    <w:basedOn w:val="TableNormal"/>
    <w:uiPriority w:val="40"/>
    <w:rsid w:val="002003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
    <w:name w:val="List Table 3"/>
    <w:basedOn w:val="TableNormal"/>
    <w:uiPriority w:val="48"/>
    <w:rsid w:val="00853B1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EQAUTable">
    <w:name w:val="EQAU Table"/>
    <w:basedOn w:val="TableNormal"/>
    <w:uiPriority w:val="99"/>
    <w:rsid w:val="00D11DBC"/>
    <w:pPr>
      <w:spacing w:after="0" w:line="240" w:lineRule="auto"/>
    </w:pPr>
    <w:tblPr>
      <w:tblBorders>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B41EAA" w:themeColor="accent6"/>
          <w:left w:val="single" w:sz="4" w:space="0" w:color="B41EAA" w:themeColor="accent6"/>
          <w:bottom w:val="single" w:sz="4" w:space="0" w:color="B41EAA" w:themeColor="accent6"/>
          <w:right w:val="single" w:sz="4" w:space="0" w:color="B41EAA" w:themeColor="accent6"/>
          <w:insideH w:val="single" w:sz="4" w:space="0" w:color="B41EAA" w:themeColor="accent6"/>
          <w:insideV w:val="single" w:sz="4" w:space="0" w:color="FFFFFF" w:themeColor="background1"/>
        </w:tcBorders>
        <w:shd w:val="clear" w:color="auto" w:fill="B41EAA" w:themeFill="accent6"/>
      </w:tcPr>
    </w:tblStylePr>
  </w:style>
  <w:style w:type="character" w:styleId="FootnoteReference">
    <w:name w:val="footnote reference"/>
    <w:basedOn w:val="DefaultParagraphFont"/>
    <w:uiPriority w:val="99"/>
    <w:semiHidden/>
    <w:unhideWhenUsed/>
    <w:rsid w:val="007D2EAD"/>
    <w:rPr>
      <w:vertAlign w:val="superscript"/>
    </w:rPr>
  </w:style>
  <w:style w:type="paragraph" w:customStyle="1" w:styleId="P1Footer">
    <w:name w:val="P1 Footer"/>
    <w:basedOn w:val="Footer"/>
    <w:uiPriority w:val="99"/>
    <w:rsid w:val="00223F49"/>
    <w:pPr>
      <w:pBdr>
        <w:top w:val="none" w:sz="0" w:space="0" w:color="auto"/>
        <w:bottom w:val="single" w:sz="8" w:space="8" w:color="auto"/>
      </w:pBdr>
    </w:pPr>
    <w:rPr>
      <w:color w:val="000000" w:themeColor="text1"/>
      <w:sz w:val="24"/>
    </w:rPr>
  </w:style>
  <w:style w:type="paragraph" w:styleId="Title">
    <w:name w:val="Title"/>
    <w:basedOn w:val="Normal"/>
    <w:next w:val="Normal"/>
    <w:link w:val="TitleChar"/>
    <w:uiPriority w:val="10"/>
    <w:qFormat/>
    <w:rsid w:val="00BB79D2"/>
    <w:pPr>
      <w:spacing w:before="0" w:after="0" w:line="192" w:lineRule="auto"/>
      <w:contextualSpacing/>
    </w:pPr>
    <w:rPr>
      <w:rFonts w:asciiTheme="majorHAnsi" w:eastAsiaTheme="majorEastAsia" w:hAnsiTheme="majorHAnsi" w:cstheme="majorBidi"/>
      <w:caps/>
      <w:color w:val="FFFFFF" w:themeColor="background1"/>
      <w:spacing w:val="-10"/>
      <w:kern w:val="28"/>
      <w:sz w:val="74"/>
      <w:szCs w:val="56"/>
    </w:rPr>
  </w:style>
  <w:style w:type="character" w:customStyle="1" w:styleId="TitleChar">
    <w:name w:val="Title Char"/>
    <w:basedOn w:val="DefaultParagraphFont"/>
    <w:link w:val="Title"/>
    <w:uiPriority w:val="10"/>
    <w:rsid w:val="00BB79D2"/>
    <w:rPr>
      <w:rFonts w:asciiTheme="majorHAnsi" w:eastAsiaTheme="majorEastAsia" w:hAnsiTheme="majorHAnsi" w:cstheme="majorBidi"/>
      <w:caps/>
      <w:color w:val="FFFFFF" w:themeColor="background1"/>
      <w:spacing w:val="-10"/>
      <w:kern w:val="28"/>
      <w:sz w:val="74"/>
      <w:szCs w:val="56"/>
    </w:rPr>
  </w:style>
  <w:style w:type="paragraph" w:styleId="Subtitle">
    <w:name w:val="Subtitle"/>
    <w:basedOn w:val="Normal"/>
    <w:next w:val="Normal"/>
    <w:link w:val="SubtitleChar"/>
    <w:uiPriority w:val="11"/>
    <w:qFormat/>
    <w:rsid w:val="00951964"/>
    <w:pPr>
      <w:numPr>
        <w:ilvl w:val="1"/>
      </w:numPr>
      <w:spacing w:before="160" w:after="160" w:line="216" w:lineRule="auto"/>
    </w:pPr>
    <w:rPr>
      <w:rFonts w:ascii="Overpass" w:eastAsiaTheme="minorEastAsia" w:hAnsi="Overpass"/>
      <w:caps/>
      <w:color w:val="FFFFFF" w:themeColor="background1"/>
      <w:spacing w:val="0"/>
      <w:sz w:val="24"/>
    </w:rPr>
  </w:style>
  <w:style w:type="character" w:customStyle="1" w:styleId="SubtitleChar">
    <w:name w:val="Subtitle Char"/>
    <w:basedOn w:val="DefaultParagraphFont"/>
    <w:link w:val="Subtitle"/>
    <w:uiPriority w:val="11"/>
    <w:rsid w:val="00951964"/>
    <w:rPr>
      <w:rFonts w:ascii="Overpass" w:eastAsiaTheme="minorEastAsia" w:hAnsi="Overpass"/>
      <w:caps/>
      <w:color w:val="FFFFFF" w:themeColor="background1"/>
      <w:sz w:val="24"/>
    </w:rPr>
  </w:style>
  <w:style w:type="paragraph" w:styleId="TOCHeading">
    <w:name w:val="TOC Heading"/>
    <w:basedOn w:val="Heading1"/>
    <w:next w:val="Normal"/>
    <w:uiPriority w:val="39"/>
    <w:unhideWhenUsed/>
    <w:qFormat/>
    <w:rsid w:val="00D11DBC"/>
    <w:pPr>
      <w:numPr>
        <w:numId w:val="0"/>
      </w:numPr>
      <w:spacing w:before="240" w:after="0" w:line="264" w:lineRule="auto"/>
      <w:outlineLvl w:val="9"/>
    </w:pPr>
    <w:rPr>
      <w:rFonts w:asciiTheme="majorHAnsi" w:hAnsiTheme="majorHAnsi"/>
      <w:color w:val="B41EAA" w:themeColor="accent6"/>
      <w:sz w:val="32"/>
    </w:rPr>
  </w:style>
  <w:style w:type="paragraph" w:styleId="TOC1">
    <w:name w:val="toc 1"/>
    <w:basedOn w:val="Normal"/>
    <w:next w:val="Normal"/>
    <w:autoRedefine/>
    <w:uiPriority w:val="39"/>
    <w:unhideWhenUsed/>
    <w:rsid w:val="00BB79D2"/>
    <w:pPr>
      <w:spacing w:after="100"/>
    </w:pPr>
  </w:style>
  <w:style w:type="paragraph" w:styleId="TOC2">
    <w:name w:val="toc 2"/>
    <w:basedOn w:val="Normal"/>
    <w:next w:val="Normal"/>
    <w:autoRedefine/>
    <w:uiPriority w:val="39"/>
    <w:unhideWhenUsed/>
    <w:rsid w:val="00BB79D2"/>
    <w:pPr>
      <w:spacing w:after="100"/>
      <w:ind w:left="180"/>
    </w:pPr>
  </w:style>
  <w:style w:type="character" w:styleId="Hyperlink">
    <w:name w:val="Hyperlink"/>
    <w:basedOn w:val="DefaultParagraphFont"/>
    <w:uiPriority w:val="99"/>
    <w:unhideWhenUsed/>
    <w:rsid w:val="00BB79D2"/>
    <w:rPr>
      <w:color w:val="1C77A4" w:themeColor="hyperlink"/>
      <w:u w:val="single"/>
    </w:rPr>
  </w:style>
  <w:style w:type="paragraph" w:customStyle="1" w:styleId="Intro">
    <w:name w:val="Intro"/>
    <w:basedOn w:val="Normal"/>
    <w:uiPriority w:val="1"/>
    <w:qFormat/>
    <w:rsid w:val="00B54BB8"/>
    <w:rPr>
      <w:rFonts w:ascii="Overpass" w:hAnsi="Overpass"/>
      <w:b/>
    </w:rPr>
  </w:style>
  <w:style w:type="paragraph" w:styleId="NoSpacing">
    <w:name w:val="No Spacing"/>
    <w:uiPriority w:val="1"/>
    <w:qFormat/>
    <w:rsid w:val="00735275"/>
    <w:pPr>
      <w:spacing w:after="0" w:line="240" w:lineRule="auto"/>
    </w:pPr>
    <w:rPr>
      <w:spacing w:val="-2"/>
      <w:sz w:val="18"/>
    </w:rPr>
  </w:style>
  <w:style w:type="paragraph" w:customStyle="1" w:styleId="FooterEQAU">
    <w:name w:val="FooterEQAU"/>
    <w:next w:val="Normal"/>
    <w:qFormat/>
    <w:rsid w:val="00735275"/>
    <w:pPr>
      <w:spacing w:after="0" w:line="240" w:lineRule="auto"/>
    </w:pPr>
    <w:rPr>
      <w:rFonts w:ascii="PhosphateSolid" w:hAnsi="PhosphateSolid"/>
      <w:caps/>
      <w:color w:val="000000" w:themeColor="text1"/>
      <w:sz w:val="24"/>
    </w:rPr>
  </w:style>
  <w:style w:type="paragraph" w:customStyle="1" w:styleId="FooterP1EQAU">
    <w:name w:val="Footer P1 EQAU"/>
    <w:next w:val="Normal"/>
    <w:qFormat/>
    <w:rsid w:val="00735275"/>
    <w:pPr>
      <w:spacing w:after="0" w:line="240" w:lineRule="auto"/>
    </w:pPr>
    <w:rPr>
      <w:rFonts w:ascii="PhosphateSolid" w:hAnsi="PhosphateSolid"/>
      <w:caps/>
      <w:spacing w:val="-2"/>
      <w:sz w:val="24"/>
    </w:rPr>
  </w:style>
  <w:style w:type="paragraph" w:styleId="ListParagraph">
    <w:name w:val="List Paragraph"/>
    <w:basedOn w:val="Normal"/>
    <w:uiPriority w:val="34"/>
    <w:qFormat/>
    <w:rsid w:val="00F54619"/>
    <w:pPr>
      <w:ind w:left="720"/>
      <w:contextualSpacing/>
    </w:pPr>
  </w:style>
  <w:style w:type="character" w:styleId="UnresolvedMention">
    <w:name w:val="Unresolved Mention"/>
    <w:basedOn w:val="DefaultParagraphFont"/>
    <w:uiPriority w:val="99"/>
    <w:semiHidden/>
    <w:unhideWhenUsed/>
    <w:rsid w:val="00212547"/>
    <w:rPr>
      <w:color w:val="605E5C"/>
      <w:shd w:val="clear" w:color="auto" w:fill="E1DFDD"/>
    </w:rPr>
  </w:style>
  <w:style w:type="character" w:styleId="FollowedHyperlink">
    <w:name w:val="FollowedHyperlink"/>
    <w:basedOn w:val="DefaultParagraphFont"/>
    <w:uiPriority w:val="99"/>
    <w:semiHidden/>
    <w:unhideWhenUsed/>
    <w:rsid w:val="00C92011"/>
    <w:rPr>
      <w:color w:val="7F7F7F" w:themeColor="followedHyperlink"/>
      <w:u w:val="single"/>
    </w:rPr>
  </w:style>
  <w:style w:type="character" w:styleId="CommentReference">
    <w:name w:val="annotation reference"/>
    <w:basedOn w:val="DefaultParagraphFont"/>
    <w:uiPriority w:val="99"/>
    <w:semiHidden/>
    <w:unhideWhenUsed/>
    <w:rsid w:val="009F14F6"/>
    <w:rPr>
      <w:sz w:val="16"/>
      <w:szCs w:val="16"/>
    </w:rPr>
  </w:style>
  <w:style w:type="paragraph" w:styleId="CommentText">
    <w:name w:val="annotation text"/>
    <w:basedOn w:val="Normal"/>
    <w:link w:val="CommentTextChar"/>
    <w:uiPriority w:val="99"/>
    <w:semiHidden/>
    <w:unhideWhenUsed/>
    <w:rsid w:val="009F14F6"/>
    <w:pPr>
      <w:spacing w:line="240" w:lineRule="auto"/>
    </w:pPr>
    <w:rPr>
      <w:sz w:val="20"/>
      <w:szCs w:val="20"/>
    </w:rPr>
  </w:style>
  <w:style w:type="character" w:customStyle="1" w:styleId="CommentTextChar">
    <w:name w:val="Comment Text Char"/>
    <w:basedOn w:val="DefaultParagraphFont"/>
    <w:link w:val="CommentText"/>
    <w:uiPriority w:val="99"/>
    <w:semiHidden/>
    <w:rsid w:val="009F14F6"/>
    <w:rPr>
      <w:spacing w:val="-2"/>
      <w:sz w:val="20"/>
      <w:szCs w:val="20"/>
    </w:rPr>
  </w:style>
  <w:style w:type="paragraph" w:styleId="CommentSubject">
    <w:name w:val="annotation subject"/>
    <w:basedOn w:val="CommentText"/>
    <w:next w:val="CommentText"/>
    <w:link w:val="CommentSubjectChar"/>
    <w:uiPriority w:val="99"/>
    <w:semiHidden/>
    <w:unhideWhenUsed/>
    <w:rsid w:val="009F14F6"/>
    <w:rPr>
      <w:b/>
      <w:bCs/>
    </w:rPr>
  </w:style>
  <w:style w:type="character" w:customStyle="1" w:styleId="CommentSubjectChar">
    <w:name w:val="Comment Subject Char"/>
    <w:basedOn w:val="CommentTextChar"/>
    <w:link w:val="CommentSubject"/>
    <w:uiPriority w:val="99"/>
    <w:semiHidden/>
    <w:rsid w:val="009F14F6"/>
    <w:rPr>
      <w:b/>
      <w:bCs/>
      <w:spacing w:val="-2"/>
      <w:sz w:val="20"/>
      <w:szCs w:val="20"/>
    </w:rPr>
  </w:style>
  <w:style w:type="paragraph" w:styleId="BalloonText">
    <w:name w:val="Balloon Text"/>
    <w:basedOn w:val="Normal"/>
    <w:link w:val="BalloonTextChar"/>
    <w:uiPriority w:val="99"/>
    <w:semiHidden/>
    <w:unhideWhenUsed/>
    <w:rsid w:val="009F14F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F14F6"/>
    <w:rPr>
      <w:rFonts w:ascii="Segoe UI" w:hAnsi="Segoe UI" w:cs="Segoe U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ghassan.kassisieh@equalityaustralia.org.au"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anna.brown@equalityaustralia.org.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qualityaustralia.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8" Type="http://schemas.openxmlformats.org/officeDocument/2006/relationships/hyperlink" Target="https://www.latrobe.edu.au/__data/assets/pdf_file/0008/929861/GAFLA-Report-Final-Version.pdf" TargetMode="External"/><Relationship Id="rId13" Type="http://schemas.openxmlformats.org/officeDocument/2006/relationships/hyperlink" Target="https://yogyakartaprinciples.org/" TargetMode="External"/><Relationship Id="rId3" Type="http://schemas.openxmlformats.org/officeDocument/2006/relationships/hyperlink" Target="https://www.humanrights.gov.au/sites/default/files/document/publication/SOGII%20Rights%20Report%202015_Web_Version.pdf" TargetMode="External"/><Relationship Id="rId7" Type="http://schemas.openxmlformats.org/officeDocument/2006/relationships/hyperlink" Target="https://www.latrobe.edu.au/__data/assets/pdf_file/0020/180425/PrivateLives2Report.pdf" TargetMode="External"/><Relationship Id="rId12" Type="http://schemas.openxmlformats.org/officeDocument/2006/relationships/hyperlink" Target="https://www.arts.unsw.edu.au/sites/default/files/documents/Stigma%20Indicators%20Summary%20HIV%20%2B%20MSM%202019.pdf" TargetMode="External"/><Relationship Id="rId17" Type="http://schemas.openxmlformats.org/officeDocument/2006/relationships/hyperlink" Target="https://www.parliament.vic.gov.au/images/stories/committees/lsic-LA/Inquiry_into_Anti-Vilification_Protections_/Report/Inquiry_into_Anti-vilification_Protections_002.pdf" TargetMode="External"/><Relationship Id="rId2" Type="http://schemas.openxmlformats.org/officeDocument/2006/relationships/hyperlink" Target="https://www.latrobe.edu.au/__data/assets/pdf_file/0020/180425/PrivateLives2Report.pdf" TargetMode="External"/><Relationship Id="rId16" Type="http://schemas.openxmlformats.org/officeDocument/2006/relationships/hyperlink" Target="https://www.parliament.vic.gov.au/images/stories/committees/lsic-LA/Inquiry_into_Anti-Vilification_Protections_/Report/Inquiry_into_Anti-vilification_Protections_002.pdf" TargetMode="External"/><Relationship Id="rId1" Type="http://schemas.openxmlformats.org/officeDocument/2006/relationships/hyperlink" Target="https://www.latrobe.edu.au/__data/assets/pdf_file/0009/1185885/Private-Lives-3.pdf" TargetMode="External"/><Relationship Id="rId6" Type="http://schemas.openxmlformats.org/officeDocument/2006/relationships/hyperlink" Target="https://www.latrobe.edu.au/__data/assets/pdf_file/0009/1185885/Private-Lives-3.pdf" TargetMode="External"/><Relationship Id="rId11" Type="http://schemas.openxmlformats.org/officeDocument/2006/relationships/hyperlink" Target="ttps://www.latrobe.edu.au/arcshs/documents/arcshs-research-publications/WTi3.pdf" TargetMode="External"/><Relationship Id="rId5" Type="http://schemas.openxmlformats.org/officeDocument/2006/relationships/hyperlink" Target="https://www.humanrights.gov.au/sites/default/files/document/publication/SOGII%20Rights%20Report%202015_Web_Version.pdf" TargetMode="External"/><Relationship Id="rId15" Type="http://schemas.openxmlformats.org/officeDocument/2006/relationships/hyperlink" Target="https://darlington.org.au/statement/" TargetMode="External"/><Relationship Id="rId10" Type="http://schemas.openxmlformats.org/officeDocument/2006/relationships/hyperlink" Target="https://www.tandfonline.com/doi/full/10.1080/14681811.2016.1149808" TargetMode="External"/><Relationship Id="rId4" Type="http://schemas.openxmlformats.org/officeDocument/2006/relationships/hyperlink" Target="https://www.latrobe.edu.au/__data/assets/pdf_file/0020/180425/PrivateLives2Report.pdf" TargetMode="External"/><Relationship Id="rId9" Type="http://schemas.openxmlformats.org/officeDocument/2006/relationships/hyperlink" Target="https://latrobe.figshare.com/articles/TRANScending_discrimination_in_health_cancer_care_A_study_of_trans_gender_diverse_Australians/9122123" TargetMode="External"/><Relationship Id="rId14" Type="http://schemas.openxmlformats.org/officeDocument/2006/relationships/hyperlink" Target="https://ihra.org.au/17680/intersex-characteristics-not-gender-identi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QAU">
      <a:dk1>
        <a:sysClr val="windowText" lastClr="000000"/>
      </a:dk1>
      <a:lt1>
        <a:sysClr val="window" lastClr="FFFFFF"/>
      </a:lt1>
      <a:dk2>
        <a:srgbClr val="44546A"/>
      </a:dk2>
      <a:lt2>
        <a:srgbClr val="E7E6E6"/>
      </a:lt2>
      <a:accent1>
        <a:srgbClr val="00A0E6"/>
      </a:accent1>
      <a:accent2>
        <a:srgbClr val="00BE87"/>
      </a:accent2>
      <a:accent3>
        <a:srgbClr val="FFD200"/>
      </a:accent3>
      <a:accent4>
        <a:srgbClr val="FFA50A"/>
      </a:accent4>
      <a:accent5>
        <a:srgbClr val="DC1450"/>
      </a:accent5>
      <a:accent6>
        <a:srgbClr val="B41EAA"/>
      </a:accent6>
      <a:hlink>
        <a:srgbClr val="1C77A4"/>
      </a:hlink>
      <a:folHlink>
        <a:srgbClr val="7F7F7F"/>
      </a:folHlink>
    </a:clrScheme>
    <a:fontScheme name="EQAU">
      <a:majorFont>
        <a:latin typeface="PhosphateSolid"/>
        <a:ea typeface=""/>
        <a:cs typeface=""/>
      </a:majorFont>
      <a:minorFont>
        <a:latin typeface="Overpas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D34B6E8FB5B84C99BF41CFCEE1CF1D" ma:contentTypeVersion="13" ma:contentTypeDescription="Create a new document." ma:contentTypeScope="" ma:versionID="1783f27db179174fe5662422a4c05194">
  <xsd:schema xmlns:xsd="http://www.w3.org/2001/XMLSchema" xmlns:xs="http://www.w3.org/2001/XMLSchema" xmlns:p="http://schemas.microsoft.com/office/2006/metadata/properties" xmlns:ns2="48351c5d-2a5e-4a36-a73b-3724a2f9a579" xmlns:ns3="de86d9f3-3c15-4e5c-94bb-4272817517bb" targetNamespace="http://schemas.microsoft.com/office/2006/metadata/properties" ma:root="true" ma:fieldsID="293c0a7d402f0f8b4218c2641b4e1775" ns2:_="" ns3:_="">
    <xsd:import namespace="48351c5d-2a5e-4a36-a73b-3724a2f9a579"/>
    <xsd:import namespace="de86d9f3-3c15-4e5c-94bb-4272817517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5d-2a5e-4a36-a73b-3724a2f9a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86d9f3-3c15-4e5c-94bb-4272817517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14C56D-4229-49ED-993C-9637599C3C80}">
  <ds:schemaRefs>
    <ds:schemaRef ds:uri="http://schemas.microsoft.com/sharepoint/v3/contenttype/forms"/>
  </ds:schemaRefs>
</ds:datastoreItem>
</file>

<file path=customXml/itemProps2.xml><?xml version="1.0" encoding="utf-8"?>
<ds:datastoreItem xmlns:ds="http://schemas.openxmlformats.org/officeDocument/2006/customXml" ds:itemID="{47EFB13E-46E5-4FA2-8664-8EB5F7119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5d-2a5e-4a36-a73b-3724a2f9a579"/>
    <ds:schemaRef ds:uri="de86d9f3-3c15-4e5c-94bb-427281751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0253B5-9C8C-4001-911D-E797B48BAA53}">
  <ds:schemaRefs>
    <ds:schemaRef ds:uri="http://schemas.openxmlformats.org/officeDocument/2006/bibliography"/>
  </ds:schemaRefs>
</ds:datastoreItem>
</file>

<file path=customXml/itemProps4.xml><?xml version="1.0" encoding="utf-8"?>
<ds:datastoreItem xmlns:ds="http://schemas.openxmlformats.org/officeDocument/2006/customXml" ds:itemID="{CBB35633-047E-4645-B02E-872CAE4654C0}">
  <ds:schemaRefs>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48351c5d-2a5e-4a36-a73b-3724a2f9a579"/>
    <ds:schemaRef ds:uri="http://schemas.openxmlformats.org/package/2006/metadata/core-properties"/>
    <ds:schemaRef ds:uri="de86d9f3-3c15-4e5c-94bb-4272817517b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3443</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Flannery</dc:creator>
  <cp:keywords/>
  <dc:description/>
  <cp:lastModifiedBy>Ghassan K</cp:lastModifiedBy>
  <cp:revision>2</cp:revision>
  <cp:lastPrinted>2021-07-26T09:06:00Z</cp:lastPrinted>
  <dcterms:created xsi:type="dcterms:W3CDTF">2021-07-26T09:07:00Z</dcterms:created>
  <dcterms:modified xsi:type="dcterms:W3CDTF">2021-07-26T09:07:00Z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0x01010027D34B6E8FB5B84C99BF41CFCEE1CF1D</vt:lpwstr>
  </property>
</Properties>
</file>