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978"/>
      </w:tblGrid>
      <w:tr w:rsidR="000348D5" w14:paraId="1638E670" w14:textId="434F6B55" w:rsidTr="00AF17ED">
        <w:trPr>
          <w:trHeight w:val="8067"/>
        </w:trPr>
        <w:tc>
          <w:tcPr>
            <w:tcW w:w="2586" w:type="dxa"/>
            <w:vAlign w:val="bottom"/>
          </w:tcPr>
          <w:p w14:paraId="5651ABCE" w14:textId="77777777" w:rsidR="000348D5" w:rsidRPr="00993466" w:rsidRDefault="000348D5" w:rsidP="00CA34DF">
            <w:pPr>
              <w:rPr>
                <w:u w:val="words"/>
              </w:rPr>
            </w:pPr>
          </w:p>
        </w:tc>
        <w:tc>
          <w:tcPr>
            <w:tcW w:w="6978" w:type="dxa"/>
          </w:tcPr>
          <w:p w14:paraId="58D584A1" w14:textId="77777777" w:rsidR="000348D5" w:rsidRDefault="000348D5" w:rsidP="00CA34DF"/>
        </w:tc>
      </w:tr>
      <w:tr w:rsidR="000348D5" w14:paraId="66F3192A" w14:textId="124DEBC8" w:rsidTr="00AF17ED">
        <w:trPr>
          <w:trHeight w:val="5001"/>
        </w:trPr>
        <w:tc>
          <w:tcPr>
            <w:tcW w:w="2586" w:type="dxa"/>
            <w:vAlign w:val="bottom"/>
          </w:tcPr>
          <w:p w14:paraId="1FED200B" w14:textId="24F6F1A7" w:rsidR="000348D5" w:rsidRDefault="000348D5" w:rsidP="000348D5">
            <w:pPr>
              <w:pStyle w:val="Title"/>
            </w:pPr>
          </w:p>
        </w:tc>
        <w:tc>
          <w:tcPr>
            <w:tcW w:w="6978" w:type="dxa"/>
            <w:vAlign w:val="bottom"/>
          </w:tcPr>
          <w:p w14:paraId="525B2295" w14:textId="52E2CEFC" w:rsidR="000348D5" w:rsidRDefault="00697253" w:rsidP="00CF4449">
            <w:pPr>
              <w:pStyle w:val="Title"/>
            </w:pPr>
            <w:r>
              <w:t>Religious discrimination</w:t>
            </w:r>
            <w:r w:rsidR="00B72634">
              <w:t>:</w:t>
            </w:r>
          </w:p>
        </w:tc>
      </w:tr>
      <w:tr w:rsidR="000348D5" w14:paraId="779428FB" w14:textId="0D4AA08C" w:rsidTr="00AF17ED">
        <w:trPr>
          <w:trHeight w:val="1144"/>
        </w:trPr>
        <w:tc>
          <w:tcPr>
            <w:tcW w:w="2586" w:type="dxa"/>
          </w:tcPr>
          <w:p w14:paraId="4C9B2981" w14:textId="30A1620B" w:rsidR="000348D5" w:rsidRDefault="000348D5" w:rsidP="000348D5">
            <w:pPr>
              <w:pStyle w:val="Subtitle"/>
            </w:pPr>
          </w:p>
        </w:tc>
        <w:tc>
          <w:tcPr>
            <w:tcW w:w="6978" w:type="dxa"/>
          </w:tcPr>
          <w:p w14:paraId="02FDDC5A" w14:textId="10E0226B" w:rsidR="000348D5" w:rsidRDefault="004A0F94" w:rsidP="000348D5">
            <w:pPr>
              <w:pStyle w:val="Subtitle"/>
            </w:pPr>
            <w:r>
              <w:t>Submission</w:t>
            </w:r>
            <w:r w:rsidR="003B16BA">
              <w:t xml:space="preserve"> to the NSW </w:t>
            </w:r>
            <w:r w:rsidR="00DA5B13">
              <w:t>Joint Select Committee on the anti-discrimination Amendment (Religious freedoms and equality) Bill 2020</w:t>
            </w:r>
            <w:r w:rsidR="003B16BA">
              <w:t xml:space="preserve"> </w:t>
            </w:r>
          </w:p>
        </w:tc>
      </w:tr>
    </w:tbl>
    <w:p w14:paraId="05FBEBD3" w14:textId="5B25840C" w:rsidR="005375D5" w:rsidRPr="00951964" w:rsidRDefault="005375D5" w:rsidP="00951964"/>
    <w:p w14:paraId="37777F4F" w14:textId="77777777" w:rsidR="008D531D" w:rsidRDefault="008D531D" w:rsidP="00CA34DF">
      <w:pPr>
        <w:sectPr w:rsidR="008D531D" w:rsidSect="000348D5">
          <w:headerReference w:type="even" r:id="rId11"/>
          <w:headerReference w:type="default" r:id="rId12"/>
          <w:footerReference w:type="even" r:id="rId13"/>
          <w:footerReference w:type="default" r:id="rId14"/>
          <w:headerReference w:type="first" r:id="rId15"/>
          <w:footerReference w:type="first" r:id="rId16"/>
          <w:pgSz w:w="11907" w:h="16840" w:code="9"/>
          <w:pgMar w:top="1644" w:right="1021" w:bottom="360" w:left="1985" w:header="709" w:footer="0" w:gutter="0"/>
          <w:cols w:space="708"/>
          <w:docGrid w:linePitch="360"/>
        </w:sectPr>
      </w:pPr>
    </w:p>
    <w:p w14:paraId="51833D42" w14:textId="51D0960C" w:rsidR="00BB79D2" w:rsidRDefault="00BB79D2" w:rsidP="00BB79D2">
      <w:pPr>
        <w:pStyle w:val="TOCHeading"/>
      </w:pPr>
      <w:r>
        <w:lastRenderedPageBreak/>
        <w:t>Contents</w:t>
      </w:r>
    </w:p>
    <w:p w14:paraId="06857EB8" w14:textId="3B8742A0" w:rsidR="00F511B8" w:rsidRPr="00F511B8" w:rsidRDefault="00BB79D2">
      <w:pPr>
        <w:pStyle w:val="TOC1"/>
        <w:rPr>
          <w:rFonts w:eastAsiaTheme="minorEastAsia"/>
          <w:b/>
          <w:bCs/>
          <w:noProof/>
          <w:spacing w:val="0"/>
          <w:sz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48921243" w:history="1">
        <w:r w:rsidR="00F511B8" w:rsidRPr="00F511B8">
          <w:rPr>
            <w:rStyle w:val="Hyperlink"/>
            <w:b/>
            <w:bCs/>
            <w:noProof/>
          </w:rPr>
          <w:t>Executive summary</w:t>
        </w:r>
        <w:r w:rsidR="00F511B8" w:rsidRPr="00F511B8">
          <w:rPr>
            <w:b/>
            <w:bCs/>
            <w:noProof/>
            <w:webHidden/>
          </w:rPr>
          <w:tab/>
        </w:r>
        <w:r w:rsidR="00F511B8" w:rsidRPr="00F511B8">
          <w:rPr>
            <w:b/>
            <w:bCs/>
            <w:noProof/>
            <w:webHidden/>
          </w:rPr>
          <w:fldChar w:fldCharType="begin"/>
        </w:r>
        <w:r w:rsidR="00F511B8" w:rsidRPr="00F511B8">
          <w:rPr>
            <w:b/>
            <w:bCs/>
            <w:noProof/>
            <w:webHidden/>
          </w:rPr>
          <w:instrText xml:space="preserve"> PAGEREF _Toc48921243 \h </w:instrText>
        </w:r>
        <w:r w:rsidR="00F511B8" w:rsidRPr="00F511B8">
          <w:rPr>
            <w:b/>
            <w:bCs/>
            <w:noProof/>
            <w:webHidden/>
          </w:rPr>
        </w:r>
        <w:r w:rsidR="00F511B8" w:rsidRPr="00F511B8">
          <w:rPr>
            <w:b/>
            <w:bCs/>
            <w:noProof/>
            <w:webHidden/>
          </w:rPr>
          <w:fldChar w:fldCharType="separate"/>
        </w:r>
        <w:r w:rsidR="001E2C84">
          <w:rPr>
            <w:b/>
            <w:bCs/>
            <w:noProof/>
            <w:webHidden/>
          </w:rPr>
          <w:t>3</w:t>
        </w:r>
        <w:r w:rsidR="00F511B8" w:rsidRPr="00F511B8">
          <w:rPr>
            <w:b/>
            <w:bCs/>
            <w:noProof/>
            <w:webHidden/>
          </w:rPr>
          <w:fldChar w:fldCharType="end"/>
        </w:r>
      </w:hyperlink>
    </w:p>
    <w:p w14:paraId="4A5B0C52" w14:textId="51895962" w:rsidR="00F511B8" w:rsidRDefault="004D4F58">
      <w:pPr>
        <w:pStyle w:val="TOC1"/>
        <w:rPr>
          <w:rFonts w:eastAsiaTheme="minorEastAsia"/>
          <w:noProof/>
          <w:spacing w:val="0"/>
          <w:sz w:val="22"/>
          <w:lang w:eastAsia="en-AU"/>
        </w:rPr>
      </w:pPr>
      <w:hyperlink w:anchor="_Toc48921244" w:history="1">
        <w:r w:rsidR="00F511B8" w:rsidRPr="00F511B8">
          <w:rPr>
            <w:rStyle w:val="Hyperlink"/>
            <w:b/>
            <w:bCs/>
            <w:noProof/>
          </w:rPr>
          <w:t>Key issues with the Bill</w:t>
        </w:r>
        <w:r w:rsidR="00F511B8" w:rsidRPr="00F511B8">
          <w:rPr>
            <w:b/>
            <w:bCs/>
            <w:noProof/>
            <w:webHidden/>
          </w:rPr>
          <w:tab/>
        </w:r>
        <w:r w:rsidR="00F511B8" w:rsidRPr="00F511B8">
          <w:rPr>
            <w:b/>
            <w:bCs/>
            <w:noProof/>
            <w:webHidden/>
          </w:rPr>
          <w:fldChar w:fldCharType="begin"/>
        </w:r>
        <w:r w:rsidR="00F511B8" w:rsidRPr="00F511B8">
          <w:rPr>
            <w:b/>
            <w:bCs/>
            <w:noProof/>
            <w:webHidden/>
          </w:rPr>
          <w:instrText xml:space="preserve"> PAGEREF _Toc48921244 \h </w:instrText>
        </w:r>
        <w:r w:rsidR="00F511B8" w:rsidRPr="00F511B8">
          <w:rPr>
            <w:b/>
            <w:bCs/>
            <w:noProof/>
            <w:webHidden/>
          </w:rPr>
        </w:r>
        <w:r w:rsidR="00F511B8" w:rsidRPr="00F511B8">
          <w:rPr>
            <w:b/>
            <w:bCs/>
            <w:noProof/>
            <w:webHidden/>
          </w:rPr>
          <w:fldChar w:fldCharType="separate"/>
        </w:r>
        <w:r w:rsidR="001E2C84">
          <w:rPr>
            <w:b/>
            <w:bCs/>
            <w:noProof/>
            <w:webHidden/>
          </w:rPr>
          <w:t>5</w:t>
        </w:r>
        <w:r w:rsidR="00F511B8" w:rsidRPr="00F511B8">
          <w:rPr>
            <w:b/>
            <w:bCs/>
            <w:noProof/>
            <w:webHidden/>
          </w:rPr>
          <w:fldChar w:fldCharType="end"/>
        </w:r>
      </w:hyperlink>
    </w:p>
    <w:p w14:paraId="21F48E75" w14:textId="5C960B82" w:rsidR="00F511B8" w:rsidRDefault="004D4F58">
      <w:pPr>
        <w:pStyle w:val="TOC1"/>
        <w:rPr>
          <w:rFonts w:eastAsiaTheme="minorEastAsia"/>
          <w:noProof/>
          <w:spacing w:val="0"/>
          <w:sz w:val="22"/>
          <w:lang w:eastAsia="en-AU"/>
        </w:rPr>
      </w:pPr>
      <w:hyperlink w:anchor="_Toc48921245" w:history="1">
        <w:r w:rsidR="00F511B8" w:rsidRPr="00A978BB">
          <w:rPr>
            <w:rStyle w:val="Hyperlink"/>
            <w:noProof/>
          </w:rPr>
          <w:t>1.</w:t>
        </w:r>
        <w:r w:rsidR="00F511B8">
          <w:rPr>
            <w:rFonts w:eastAsiaTheme="minorEastAsia"/>
            <w:noProof/>
            <w:spacing w:val="0"/>
            <w:sz w:val="22"/>
            <w:lang w:eastAsia="en-AU"/>
          </w:rPr>
          <w:tab/>
        </w:r>
        <w:r w:rsidR="00F511B8" w:rsidRPr="00A978BB">
          <w:rPr>
            <w:rStyle w:val="Hyperlink"/>
            <w:noProof/>
          </w:rPr>
          <w:t>No consequences for conduct</w:t>
        </w:r>
        <w:r w:rsidR="00F511B8">
          <w:rPr>
            <w:noProof/>
            <w:webHidden/>
          </w:rPr>
          <w:tab/>
        </w:r>
        <w:r w:rsidR="00F511B8">
          <w:rPr>
            <w:noProof/>
            <w:webHidden/>
          </w:rPr>
          <w:fldChar w:fldCharType="begin"/>
        </w:r>
        <w:r w:rsidR="00F511B8">
          <w:rPr>
            <w:noProof/>
            <w:webHidden/>
          </w:rPr>
          <w:instrText xml:space="preserve"> PAGEREF _Toc48921245 \h </w:instrText>
        </w:r>
        <w:r w:rsidR="00F511B8">
          <w:rPr>
            <w:noProof/>
            <w:webHidden/>
          </w:rPr>
        </w:r>
        <w:r w:rsidR="00F511B8">
          <w:rPr>
            <w:noProof/>
            <w:webHidden/>
          </w:rPr>
          <w:fldChar w:fldCharType="separate"/>
        </w:r>
        <w:r w:rsidR="001E2C84">
          <w:rPr>
            <w:noProof/>
            <w:webHidden/>
          </w:rPr>
          <w:t>5</w:t>
        </w:r>
        <w:r w:rsidR="00F511B8">
          <w:rPr>
            <w:noProof/>
            <w:webHidden/>
          </w:rPr>
          <w:fldChar w:fldCharType="end"/>
        </w:r>
      </w:hyperlink>
    </w:p>
    <w:p w14:paraId="3E09DF8B" w14:textId="6F23444D" w:rsidR="00F511B8" w:rsidRDefault="004D4F58">
      <w:pPr>
        <w:pStyle w:val="TOC2"/>
        <w:tabs>
          <w:tab w:val="left" w:pos="1134"/>
        </w:tabs>
        <w:rPr>
          <w:rFonts w:eastAsiaTheme="minorEastAsia"/>
          <w:noProof/>
          <w:spacing w:val="0"/>
          <w:sz w:val="22"/>
          <w:lang w:eastAsia="en-AU"/>
        </w:rPr>
      </w:pPr>
      <w:hyperlink w:anchor="_Toc48921246" w:history="1">
        <w:r w:rsidR="00F511B8" w:rsidRPr="00A978BB">
          <w:rPr>
            <w:rStyle w:val="Hyperlink"/>
            <w:noProof/>
          </w:rPr>
          <w:t>(a)</w:t>
        </w:r>
        <w:r w:rsidR="00F511B8">
          <w:rPr>
            <w:rFonts w:eastAsiaTheme="minorEastAsia"/>
            <w:noProof/>
            <w:spacing w:val="0"/>
            <w:sz w:val="22"/>
            <w:lang w:eastAsia="en-AU"/>
          </w:rPr>
          <w:tab/>
        </w:r>
        <w:r w:rsidR="00F511B8" w:rsidRPr="00A978BB">
          <w:rPr>
            <w:rStyle w:val="Hyperlink"/>
            <w:noProof/>
          </w:rPr>
          <w:t>The ‘no consequences for conduct’ provisions (ss 22N(3)-(5), 22S(2)-(4) and 22V(3)-(5))</w:t>
        </w:r>
        <w:r w:rsidR="00F511B8">
          <w:rPr>
            <w:noProof/>
            <w:webHidden/>
          </w:rPr>
          <w:tab/>
        </w:r>
        <w:r w:rsidR="00F511B8">
          <w:rPr>
            <w:noProof/>
            <w:webHidden/>
          </w:rPr>
          <w:fldChar w:fldCharType="begin"/>
        </w:r>
        <w:r w:rsidR="00F511B8">
          <w:rPr>
            <w:noProof/>
            <w:webHidden/>
          </w:rPr>
          <w:instrText xml:space="preserve"> PAGEREF _Toc48921246 \h </w:instrText>
        </w:r>
        <w:r w:rsidR="00F511B8">
          <w:rPr>
            <w:noProof/>
            <w:webHidden/>
          </w:rPr>
        </w:r>
        <w:r w:rsidR="00F511B8">
          <w:rPr>
            <w:noProof/>
            <w:webHidden/>
          </w:rPr>
          <w:fldChar w:fldCharType="separate"/>
        </w:r>
        <w:r w:rsidR="001E2C84">
          <w:rPr>
            <w:noProof/>
            <w:webHidden/>
          </w:rPr>
          <w:t>5</w:t>
        </w:r>
        <w:r w:rsidR="00F511B8">
          <w:rPr>
            <w:noProof/>
            <w:webHidden/>
          </w:rPr>
          <w:fldChar w:fldCharType="end"/>
        </w:r>
      </w:hyperlink>
    </w:p>
    <w:p w14:paraId="1BD1A473" w14:textId="1F894B29" w:rsidR="00F511B8" w:rsidRDefault="004D4F58">
      <w:pPr>
        <w:pStyle w:val="TOC2"/>
        <w:tabs>
          <w:tab w:val="left" w:pos="1134"/>
        </w:tabs>
        <w:rPr>
          <w:rFonts w:eastAsiaTheme="minorEastAsia"/>
          <w:noProof/>
          <w:spacing w:val="0"/>
          <w:sz w:val="22"/>
          <w:lang w:eastAsia="en-AU"/>
        </w:rPr>
      </w:pPr>
      <w:hyperlink w:anchor="_Toc48921247" w:history="1">
        <w:r w:rsidR="00F511B8" w:rsidRPr="00A978BB">
          <w:rPr>
            <w:rStyle w:val="Hyperlink"/>
            <w:noProof/>
          </w:rPr>
          <w:t>(b)</w:t>
        </w:r>
        <w:r w:rsidR="00F511B8">
          <w:rPr>
            <w:rFonts w:eastAsiaTheme="minorEastAsia"/>
            <w:noProof/>
            <w:spacing w:val="0"/>
            <w:sz w:val="22"/>
            <w:lang w:eastAsia="en-AU"/>
          </w:rPr>
          <w:tab/>
        </w:r>
        <w:r w:rsidR="00F511B8" w:rsidRPr="00A978BB">
          <w:rPr>
            <w:rStyle w:val="Hyperlink"/>
            <w:noProof/>
          </w:rPr>
          <w:t>Unworkable and inconsistent obligations for employers</w:t>
        </w:r>
        <w:r w:rsidR="00F511B8">
          <w:rPr>
            <w:noProof/>
            <w:webHidden/>
          </w:rPr>
          <w:tab/>
        </w:r>
        <w:r w:rsidR="00F511B8">
          <w:rPr>
            <w:noProof/>
            <w:webHidden/>
          </w:rPr>
          <w:fldChar w:fldCharType="begin"/>
        </w:r>
        <w:r w:rsidR="00F511B8">
          <w:rPr>
            <w:noProof/>
            <w:webHidden/>
          </w:rPr>
          <w:instrText xml:space="preserve"> PAGEREF _Toc48921247 \h </w:instrText>
        </w:r>
        <w:r w:rsidR="00F511B8">
          <w:rPr>
            <w:noProof/>
            <w:webHidden/>
          </w:rPr>
        </w:r>
        <w:r w:rsidR="00F511B8">
          <w:rPr>
            <w:noProof/>
            <w:webHidden/>
          </w:rPr>
          <w:fldChar w:fldCharType="separate"/>
        </w:r>
        <w:r w:rsidR="001E2C84">
          <w:rPr>
            <w:noProof/>
            <w:webHidden/>
          </w:rPr>
          <w:t>6</w:t>
        </w:r>
        <w:r w:rsidR="00F511B8">
          <w:rPr>
            <w:noProof/>
            <w:webHidden/>
          </w:rPr>
          <w:fldChar w:fldCharType="end"/>
        </w:r>
      </w:hyperlink>
    </w:p>
    <w:p w14:paraId="549E9828" w14:textId="5308B3D8" w:rsidR="00F511B8" w:rsidRDefault="004D4F58">
      <w:pPr>
        <w:pStyle w:val="TOC2"/>
        <w:tabs>
          <w:tab w:val="left" w:pos="1134"/>
        </w:tabs>
        <w:rPr>
          <w:rFonts w:eastAsiaTheme="minorEastAsia"/>
          <w:noProof/>
          <w:spacing w:val="0"/>
          <w:sz w:val="22"/>
          <w:lang w:eastAsia="en-AU"/>
        </w:rPr>
      </w:pPr>
      <w:hyperlink w:anchor="_Toc48921248" w:history="1">
        <w:r w:rsidR="00F511B8" w:rsidRPr="00A978BB">
          <w:rPr>
            <w:rStyle w:val="Hyperlink"/>
            <w:noProof/>
          </w:rPr>
          <w:t>(c)</w:t>
        </w:r>
        <w:r w:rsidR="00F511B8">
          <w:rPr>
            <w:rFonts w:eastAsiaTheme="minorEastAsia"/>
            <w:noProof/>
            <w:spacing w:val="0"/>
            <w:sz w:val="22"/>
            <w:lang w:eastAsia="en-AU"/>
          </w:rPr>
          <w:tab/>
        </w:r>
        <w:r w:rsidR="00F511B8" w:rsidRPr="00A978BB">
          <w:rPr>
            <w:rStyle w:val="Hyperlink"/>
            <w:noProof/>
          </w:rPr>
          <w:t>Impacts on schools and students</w:t>
        </w:r>
        <w:r w:rsidR="00F511B8">
          <w:rPr>
            <w:noProof/>
            <w:webHidden/>
          </w:rPr>
          <w:tab/>
        </w:r>
        <w:r w:rsidR="00F511B8">
          <w:rPr>
            <w:noProof/>
            <w:webHidden/>
          </w:rPr>
          <w:fldChar w:fldCharType="begin"/>
        </w:r>
        <w:r w:rsidR="00F511B8">
          <w:rPr>
            <w:noProof/>
            <w:webHidden/>
          </w:rPr>
          <w:instrText xml:space="preserve"> PAGEREF _Toc48921248 \h </w:instrText>
        </w:r>
        <w:r w:rsidR="00F511B8">
          <w:rPr>
            <w:noProof/>
            <w:webHidden/>
          </w:rPr>
        </w:r>
        <w:r w:rsidR="00F511B8">
          <w:rPr>
            <w:noProof/>
            <w:webHidden/>
          </w:rPr>
          <w:fldChar w:fldCharType="separate"/>
        </w:r>
        <w:r w:rsidR="001E2C84">
          <w:rPr>
            <w:noProof/>
            <w:webHidden/>
          </w:rPr>
          <w:t>7</w:t>
        </w:r>
        <w:r w:rsidR="00F511B8">
          <w:rPr>
            <w:noProof/>
            <w:webHidden/>
          </w:rPr>
          <w:fldChar w:fldCharType="end"/>
        </w:r>
      </w:hyperlink>
    </w:p>
    <w:p w14:paraId="63402234" w14:textId="5D5879C8" w:rsidR="00F511B8" w:rsidRDefault="004D4F58">
      <w:pPr>
        <w:pStyle w:val="TOC2"/>
        <w:tabs>
          <w:tab w:val="left" w:pos="1134"/>
        </w:tabs>
        <w:rPr>
          <w:rFonts w:eastAsiaTheme="minorEastAsia"/>
          <w:noProof/>
          <w:spacing w:val="0"/>
          <w:sz w:val="22"/>
          <w:lang w:eastAsia="en-AU"/>
        </w:rPr>
      </w:pPr>
      <w:hyperlink w:anchor="_Toc48921249" w:history="1">
        <w:r w:rsidR="00F511B8" w:rsidRPr="00A978BB">
          <w:rPr>
            <w:rStyle w:val="Hyperlink"/>
            <w:noProof/>
          </w:rPr>
          <w:t>(d)</w:t>
        </w:r>
        <w:r w:rsidR="00F511B8">
          <w:rPr>
            <w:rFonts w:eastAsiaTheme="minorEastAsia"/>
            <w:noProof/>
            <w:spacing w:val="0"/>
            <w:sz w:val="22"/>
            <w:lang w:eastAsia="en-AU"/>
          </w:rPr>
          <w:tab/>
        </w:r>
        <w:r w:rsidR="00F511B8" w:rsidRPr="00A978BB">
          <w:rPr>
            <w:rStyle w:val="Hyperlink"/>
            <w:noProof/>
          </w:rPr>
          <w:t>Professional misconduct</w:t>
        </w:r>
        <w:r w:rsidR="00F511B8">
          <w:rPr>
            <w:noProof/>
            <w:webHidden/>
          </w:rPr>
          <w:tab/>
        </w:r>
        <w:r w:rsidR="00F511B8">
          <w:rPr>
            <w:noProof/>
            <w:webHidden/>
          </w:rPr>
          <w:fldChar w:fldCharType="begin"/>
        </w:r>
        <w:r w:rsidR="00F511B8">
          <w:rPr>
            <w:noProof/>
            <w:webHidden/>
          </w:rPr>
          <w:instrText xml:space="preserve"> PAGEREF _Toc48921249 \h </w:instrText>
        </w:r>
        <w:r w:rsidR="00F511B8">
          <w:rPr>
            <w:noProof/>
            <w:webHidden/>
          </w:rPr>
        </w:r>
        <w:r w:rsidR="00F511B8">
          <w:rPr>
            <w:noProof/>
            <w:webHidden/>
          </w:rPr>
          <w:fldChar w:fldCharType="separate"/>
        </w:r>
        <w:r w:rsidR="001E2C84">
          <w:rPr>
            <w:noProof/>
            <w:webHidden/>
          </w:rPr>
          <w:t>7</w:t>
        </w:r>
        <w:r w:rsidR="00F511B8">
          <w:rPr>
            <w:noProof/>
            <w:webHidden/>
          </w:rPr>
          <w:fldChar w:fldCharType="end"/>
        </w:r>
      </w:hyperlink>
    </w:p>
    <w:p w14:paraId="2E6CFF68" w14:textId="39D3CBB8" w:rsidR="00F511B8" w:rsidRDefault="004D4F58">
      <w:pPr>
        <w:pStyle w:val="TOC2"/>
        <w:tabs>
          <w:tab w:val="left" w:pos="1134"/>
        </w:tabs>
        <w:rPr>
          <w:rFonts w:eastAsiaTheme="minorEastAsia"/>
          <w:noProof/>
          <w:spacing w:val="0"/>
          <w:sz w:val="22"/>
          <w:lang w:eastAsia="en-AU"/>
        </w:rPr>
      </w:pPr>
      <w:hyperlink w:anchor="_Toc48921250" w:history="1">
        <w:r w:rsidR="00F511B8" w:rsidRPr="00A978BB">
          <w:rPr>
            <w:rStyle w:val="Hyperlink"/>
            <w:noProof/>
          </w:rPr>
          <w:t>(e)</w:t>
        </w:r>
        <w:r w:rsidR="00F511B8">
          <w:rPr>
            <w:rFonts w:eastAsiaTheme="minorEastAsia"/>
            <w:noProof/>
            <w:spacing w:val="0"/>
            <w:sz w:val="22"/>
            <w:lang w:eastAsia="en-AU"/>
          </w:rPr>
          <w:tab/>
        </w:r>
        <w:r w:rsidR="00F511B8" w:rsidRPr="00A978BB">
          <w:rPr>
            <w:rStyle w:val="Hyperlink"/>
            <w:noProof/>
          </w:rPr>
          <w:t>The no consequences for conduct provisions are unnecessary</w:t>
        </w:r>
        <w:r w:rsidR="00F511B8">
          <w:rPr>
            <w:noProof/>
            <w:webHidden/>
          </w:rPr>
          <w:tab/>
        </w:r>
        <w:r w:rsidR="00F511B8">
          <w:rPr>
            <w:noProof/>
            <w:webHidden/>
          </w:rPr>
          <w:fldChar w:fldCharType="begin"/>
        </w:r>
        <w:r w:rsidR="00F511B8">
          <w:rPr>
            <w:noProof/>
            <w:webHidden/>
          </w:rPr>
          <w:instrText xml:space="preserve"> PAGEREF _Toc48921250 \h </w:instrText>
        </w:r>
        <w:r w:rsidR="00F511B8">
          <w:rPr>
            <w:noProof/>
            <w:webHidden/>
          </w:rPr>
        </w:r>
        <w:r w:rsidR="00F511B8">
          <w:rPr>
            <w:noProof/>
            <w:webHidden/>
          </w:rPr>
          <w:fldChar w:fldCharType="separate"/>
        </w:r>
        <w:r w:rsidR="001E2C84">
          <w:rPr>
            <w:noProof/>
            <w:webHidden/>
          </w:rPr>
          <w:t>9</w:t>
        </w:r>
        <w:r w:rsidR="00F511B8">
          <w:rPr>
            <w:noProof/>
            <w:webHidden/>
          </w:rPr>
          <w:fldChar w:fldCharType="end"/>
        </w:r>
      </w:hyperlink>
    </w:p>
    <w:p w14:paraId="268EFC72" w14:textId="32E2206B" w:rsidR="00F511B8" w:rsidRDefault="004D4F58">
      <w:pPr>
        <w:pStyle w:val="TOC1"/>
        <w:rPr>
          <w:rFonts w:eastAsiaTheme="minorEastAsia"/>
          <w:noProof/>
          <w:spacing w:val="0"/>
          <w:sz w:val="22"/>
          <w:lang w:eastAsia="en-AU"/>
        </w:rPr>
      </w:pPr>
      <w:hyperlink w:anchor="_Toc48921251" w:history="1">
        <w:r w:rsidR="00F511B8" w:rsidRPr="00A978BB">
          <w:rPr>
            <w:rStyle w:val="Hyperlink"/>
            <w:noProof/>
          </w:rPr>
          <w:t>2.</w:t>
        </w:r>
        <w:r w:rsidR="00F511B8">
          <w:rPr>
            <w:rFonts w:eastAsiaTheme="minorEastAsia"/>
            <w:noProof/>
            <w:spacing w:val="0"/>
            <w:sz w:val="22"/>
            <w:lang w:eastAsia="en-AU"/>
          </w:rPr>
          <w:tab/>
        </w:r>
        <w:r w:rsidR="00F511B8" w:rsidRPr="00A978BB">
          <w:rPr>
            <w:rStyle w:val="Hyperlink"/>
            <w:noProof/>
          </w:rPr>
          <w:t>Double standards in protection</w:t>
        </w:r>
        <w:r w:rsidR="00F511B8">
          <w:rPr>
            <w:noProof/>
            <w:webHidden/>
          </w:rPr>
          <w:tab/>
        </w:r>
        <w:r w:rsidR="00F511B8">
          <w:rPr>
            <w:noProof/>
            <w:webHidden/>
          </w:rPr>
          <w:fldChar w:fldCharType="begin"/>
        </w:r>
        <w:r w:rsidR="00F511B8">
          <w:rPr>
            <w:noProof/>
            <w:webHidden/>
          </w:rPr>
          <w:instrText xml:space="preserve"> PAGEREF _Toc48921251 \h </w:instrText>
        </w:r>
        <w:r w:rsidR="00F511B8">
          <w:rPr>
            <w:noProof/>
            <w:webHidden/>
          </w:rPr>
        </w:r>
        <w:r w:rsidR="00F511B8">
          <w:rPr>
            <w:noProof/>
            <w:webHidden/>
          </w:rPr>
          <w:fldChar w:fldCharType="separate"/>
        </w:r>
        <w:r w:rsidR="001E2C84">
          <w:rPr>
            <w:noProof/>
            <w:webHidden/>
          </w:rPr>
          <w:t>9</w:t>
        </w:r>
        <w:r w:rsidR="00F511B8">
          <w:rPr>
            <w:noProof/>
            <w:webHidden/>
          </w:rPr>
          <w:fldChar w:fldCharType="end"/>
        </w:r>
      </w:hyperlink>
    </w:p>
    <w:p w14:paraId="567755B7" w14:textId="025A9D6F" w:rsidR="00F511B8" w:rsidRDefault="004D4F58">
      <w:pPr>
        <w:pStyle w:val="TOC2"/>
        <w:tabs>
          <w:tab w:val="left" w:pos="1134"/>
        </w:tabs>
        <w:rPr>
          <w:rFonts w:eastAsiaTheme="minorEastAsia"/>
          <w:noProof/>
          <w:spacing w:val="0"/>
          <w:sz w:val="22"/>
          <w:lang w:eastAsia="en-AU"/>
        </w:rPr>
      </w:pPr>
      <w:hyperlink w:anchor="_Toc48921252" w:history="1">
        <w:r w:rsidR="00F511B8" w:rsidRPr="00A978BB">
          <w:rPr>
            <w:rStyle w:val="Hyperlink"/>
            <w:noProof/>
          </w:rPr>
          <w:t>(a)</w:t>
        </w:r>
        <w:r w:rsidR="00F511B8">
          <w:rPr>
            <w:rFonts w:eastAsiaTheme="minorEastAsia"/>
            <w:noProof/>
            <w:spacing w:val="0"/>
            <w:sz w:val="22"/>
            <w:lang w:eastAsia="en-AU"/>
          </w:rPr>
          <w:tab/>
        </w:r>
        <w:r w:rsidR="00F511B8" w:rsidRPr="00A978BB">
          <w:rPr>
            <w:rStyle w:val="Hyperlink"/>
            <w:noProof/>
          </w:rPr>
          <w:t>‘Religious ethos organisations’ allowed to discriminate (s 22M)</w:t>
        </w:r>
        <w:r w:rsidR="00F511B8">
          <w:rPr>
            <w:noProof/>
            <w:webHidden/>
          </w:rPr>
          <w:tab/>
        </w:r>
        <w:r w:rsidR="00F511B8">
          <w:rPr>
            <w:noProof/>
            <w:webHidden/>
          </w:rPr>
          <w:fldChar w:fldCharType="begin"/>
        </w:r>
        <w:r w:rsidR="00F511B8">
          <w:rPr>
            <w:noProof/>
            <w:webHidden/>
          </w:rPr>
          <w:instrText xml:space="preserve"> PAGEREF _Toc48921252 \h </w:instrText>
        </w:r>
        <w:r w:rsidR="00F511B8">
          <w:rPr>
            <w:noProof/>
            <w:webHidden/>
          </w:rPr>
        </w:r>
        <w:r w:rsidR="00F511B8">
          <w:rPr>
            <w:noProof/>
            <w:webHidden/>
          </w:rPr>
          <w:fldChar w:fldCharType="separate"/>
        </w:r>
        <w:r w:rsidR="001E2C84">
          <w:rPr>
            <w:noProof/>
            <w:webHidden/>
          </w:rPr>
          <w:t>9</w:t>
        </w:r>
        <w:r w:rsidR="00F511B8">
          <w:rPr>
            <w:noProof/>
            <w:webHidden/>
          </w:rPr>
          <w:fldChar w:fldCharType="end"/>
        </w:r>
      </w:hyperlink>
    </w:p>
    <w:p w14:paraId="3B201F14" w14:textId="2F85C6E9" w:rsidR="00F511B8" w:rsidRDefault="004D4F58">
      <w:pPr>
        <w:pStyle w:val="TOC2"/>
        <w:tabs>
          <w:tab w:val="left" w:pos="1134"/>
        </w:tabs>
        <w:rPr>
          <w:rFonts w:eastAsiaTheme="minorEastAsia"/>
          <w:noProof/>
          <w:spacing w:val="0"/>
          <w:sz w:val="22"/>
          <w:lang w:eastAsia="en-AU"/>
        </w:rPr>
      </w:pPr>
      <w:hyperlink w:anchor="_Toc48921253" w:history="1">
        <w:r w:rsidR="00F511B8" w:rsidRPr="00A978BB">
          <w:rPr>
            <w:rStyle w:val="Hyperlink"/>
            <w:noProof/>
          </w:rPr>
          <w:t>(b)</w:t>
        </w:r>
        <w:r w:rsidR="00F511B8">
          <w:rPr>
            <w:rFonts w:eastAsiaTheme="minorEastAsia"/>
            <w:noProof/>
            <w:spacing w:val="0"/>
            <w:sz w:val="22"/>
            <w:lang w:eastAsia="en-AU"/>
          </w:rPr>
          <w:tab/>
        </w:r>
        <w:r w:rsidR="00F511B8" w:rsidRPr="00A978BB">
          <w:rPr>
            <w:rStyle w:val="Hyperlink"/>
            <w:noProof/>
          </w:rPr>
          <w:t>A fatal flaw of the Bill</w:t>
        </w:r>
        <w:r w:rsidR="00F511B8">
          <w:rPr>
            <w:noProof/>
            <w:webHidden/>
          </w:rPr>
          <w:tab/>
        </w:r>
        <w:r w:rsidR="00F511B8">
          <w:rPr>
            <w:noProof/>
            <w:webHidden/>
          </w:rPr>
          <w:fldChar w:fldCharType="begin"/>
        </w:r>
        <w:r w:rsidR="00F511B8">
          <w:rPr>
            <w:noProof/>
            <w:webHidden/>
          </w:rPr>
          <w:instrText xml:space="preserve"> PAGEREF _Toc48921253 \h </w:instrText>
        </w:r>
        <w:r w:rsidR="00F511B8">
          <w:rPr>
            <w:noProof/>
            <w:webHidden/>
          </w:rPr>
        </w:r>
        <w:r w:rsidR="00F511B8">
          <w:rPr>
            <w:noProof/>
            <w:webHidden/>
          </w:rPr>
          <w:fldChar w:fldCharType="separate"/>
        </w:r>
        <w:r w:rsidR="001E2C84">
          <w:rPr>
            <w:noProof/>
            <w:webHidden/>
          </w:rPr>
          <w:t>10</w:t>
        </w:r>
        <w:r w:rsidR="00F511B8">
          <w:rPr>
            <w:noProof/>
            <w:webHidden/>
          </w:rPr>
          <w:fldChar w:fldCharType="end"/>
        </w:r>
      </w:hyperlink>
    </w:p>
    <w:p w14:paraId="5A5514AF" w14:textId="5CDF9236" w:rsidR="00F511B8" w:rsidRDefault="004D4F58">
      <w:pPr>
        <w:pStyle w:val="TOC2"/>
        <w:tabs>
          <w:tab w:val="left" w:pos="1134"/>
        </w:tabs>
        <w:rPr>
          <w:rFonts w:eastAsiaTheme="minorEastAsia"/>
          <w:noProof/>
          <w:spacing w:val="0"/>
          <w:sz w:val="22"/>
          <w:lang w:eastAsia="en-AU"/>
        </w:rPr>
      </w:pPr>
      <w:hyperlink w:anchor="_Toc48921254" w:history="1">
        <w:r w:rsidR="00F511B8" w:rsidRPr="00A978BB">
          <w:rPr>
            <w:rStyle w:val="Hyperlink"/>
            <w:noProof/>
          </w:rPr>
          <w:t>(c)</w:t>
        </w:r>
        <w:r w:rsidR="00F511B8">
          <w:rPr>
            <w:rFonts w:eastAsiaTheme="minorEastAsia"/>
            <w:noProof/>
            <w:spacing w:val="0"/>
            <w:sz w:val="22"/>
            <w:lang w:eastAsia="en-AU"/>
          </w:rPr>
          <w:tab/>
        </w:r>
        <w:r w:rsidR="00F511B8" w:rsidRPr="00A978BB">
          <w:rPr>
            <w:rStyle w:val="Hyperlink"/>
            <w:noProof/>
          </w:rPr>
          <w:t>Only religious values matter (ss 22N(9), 22S(5) and 22V(6))</w:t>
        </w:r>
        <w:r w:rsidR="00F511B8">
          <w:rPr>
            <w:noProof/>
            <w:webHidden/>
          </w:rPr>
          <w:tab/>
        </w:r>
        <w:r w:rsidR="00F511B8">
          <w:rPr>
            <w:noProof/>
            <w:webHidden/>
          </w:rPr>
          <w:fldChar w:fldCharType="begin"/>
        </w:r>
        <w:r w:rsidR="00F511B8">
          <w:rPr>
            <w:noProof/>
            <w:webHidden/>
          </w:rPr>
          <w:instrText xml:space="preserve"> PAGEREF _Toc48921254 \h </w:instrText>
        </w:r>
        <w:r w:rsidR="00F511B8">
          <w:rPr>
            <w:noProof/>
            <w:webHidden/>
          </w:rPr>
        </w:r>
        <w:r w:rsidR="00F511B8">
          <w:rPr>
            <w:noProof/>
            <w:webHidden/>
          </w:rPr>
          <w:fldChar w:fldCharType="separate"/>
        </w:r>
        <w:r w:rsidR="001E2C84">
          <w:rPr>
            <w:noProof/>
            <w:webHidden/>
          </w:rPr>
          <w:t>11</w:t>
        </w:r>
        <w:r w:rsidR="00F511B8">
          <w:rPr>
            <w:noProof/>
            <w:webHidden/>
          </w:rPr>
          <w:fldChar w:fldCharType="end"/>
        </w:r>
      </w:hyperlink>
    </w:p>
    <w:p w14:paraId="0D07764A" w14:textId="7A7C7381" w:rsidR="00F511B8" w:rsidRDefault="004D4F58">
      <w:pPr>
        <w:pStyle w:val="TOC1"/>
        <w:rPr>
          <w:rFonts w:eastAsiaTheme="minorEastAsia"/>
          <w:noProof/>
          <w:spacing w:val="0"/>
          <w:sz w:val="22"/>
          <w:lang w:eastAsia="en-AU"/>
        </w:rPr>
      </w:pPr>
      <w:hyperlink w:anchor="_Toc48921255" w:history="1">
        <w:r w:rsidR="00F511B8" w:rsidRPr="00A978BB">
          <w:rPr>
            <w:rStyle w:val="Hyperlink"/>
            <w:noProof/>
          </w:rPr>
          <w:t>3.</w:t>
        </w:r>
        <w:r w:rsidR="00F511B8">
          <w:rPr>
            <w:rFonts w:eastAsiaTheme="minorEastAsia"/>
            <w:noProof/>
            <w:spacing w:val="0"/>
            <w:sz w:val="22"/>
            <w:lang w:eastAsia="en-AU"/>
          </w:rPr>
          <w:tab/>
        </w:r>
        <w:r w:rsidR="00F511B8" w:rsidRPr="00A978BB">
          <w:rPr>
            <w:rStyle w:val="Hyperlink"/>
            <w:noProof/>
          </w:rPr>
          <w:t>Religious bill of rights</w:t>
        </w:r>
        <w:r w:rsidR="00F511B8">
          <w:rPr>
            <w:noProof/>
            <w:webHidden/>
          </w:rPr>
          <w:tab/>
        </w:r>
        <w:r w:rsidR="00F511B8">
          <w:rPr>
            <w:noProof/>
            <w:webHidden/>
          </w:rPr>
          <w:fldChar w:fldCharType="begin"/>
        </w:r>
        <w:r w:rsidR="00F511B8">
          <w:rPr>
            <w:noProof/>
            <w:webHidden/>
          </w:rPr>
          <w:instrText xml:space="preserve"> PAGEREF _Toc48921255 \h </w:instrText>
        </w:r>
        <w:r w:rsidR="00F511B8">
          <w:rPr>
            <w:noProof/>
            <w:webHidden/>
          </w:rPr>
        </w:r>
        <w:r w:rsidR="00F511B8">
          <w:rPr>
            <w:noProof/>
            <w:webHidden/>
          </w:rPr>
          <w:fldChar w:fldCharType="separate"/>
        </w:r>
        <w:r w:rsidR="001E2C84">
          <w:rPr>
            <w:noProof/>
            <w:webHidden/>
          </w:rPr>
          <w:t>11</w:t>
        </w:r>
        <w:r w:rsidR="00F511B8">
          <w:rPr>
            <w:noProof/>
            <w:webHidden/>
          </w:rPr>
          <w:fldChar w:fldCharType="end"/>
        </w:r>
      </w:hyperlink>
    </w:p>
    <w:p w14:paraId="725199E5" w14:textId="18A29109" w:rsidR="00F511B8" w:rsidRDefault="004D4F58">
      <w:pPr>
        <w:pStyle w:val="TOC2"/>
        <w:tabs>
          <w:tab w:val="left" w:pos="1134"/>
        </w:tabs>
        <w:rPr>
          <w:rFonts w:eastAsiaTheme="minorEastAsia"/>
          <w:noProof/>
          <w:spacing w:val="0"/>
          <w:sz w:val="22"/>
          <w:lang w:eastAsia="en-AU"/>
        </w:rPr>
      </w:pPr>
      <w:hyperlink w:anchor="_Toc48921256" w:history="1">
        <w:r w:rsidR="00F511B8" w:rsidRPr="00A978BB">
          <w:rPr>
            <w:rStyle w:val="Hyperlink"/>
            <w:noProof/>
          </w:rPr>
          <w:t>(a)</w:t>
        </w:r>
        <w:r w:rsidR="00F511B8">
          <w:rPr>
            <w:rFonts w:eastAsiaTheme="minorEastAsia"/>
            <w:noProof/>
            <w:spacing w:val="0"/>
            <w:sz w:val="22"/>
            <w:lang w:eastAsia="en-AU"/>
          </w:rPr>
          <w:tab/>
        </w:r>
        <w:r w:rsidR="00F511B8" w:rsidRPr="00A978BB">
          <w:rPr>
            <w:rStyle w:val="Hyperlink"/>
            <w:noProof/>
          </w:rPr>
          <w:t>Challenging state laws and programs (s 22Z)</w:t>
        </w:r>
        <w:r w:rsidR="00F511B8">
          <w:rPr>
            <w:noProof/>
            <w:webHidden/>
          </w:rPr>
          <w:tab/>
        </w:r>
        <w:r w:rsidR="00F511B8">
          <w:rPr>
            <w:noProof/>
            <w:webHidden/>
          </w:rPr>
          <w:fldChar w:fldCharType="begin"/>
        </w:r>
        <w:r w:rsidR="00F511B8">
          <w:rPr>
            <w:noProof/>
            <w:webHidden/>
          </w:rPr>
          <w:instrText xml:space="preserve"> PAGEREF _Toc48921256 \h </w:instrText>
        </w:r>
        <w:r w:rsidR="00F511B8">
          <w:rPr>
            <w:noProof/>
            <w:webHidden/>
          </w:rPr>
        </w:r>
        <w:r w:rsidR="00F511B8">
          <w:rPr>
            <w:noProof/>
            <w:webHidden/>
          </w:rPr>
          <w:fldChar w:fldCharType="separate"/>
        </w:r>
        <w:r w:rsidR="001E2C84">
          <w:rPr>
            <w:noProof/>
            <w:webHidden/>
          </w:rPr>
          <w:t>11</w:t>
        </w:r>
        <w:r w:rsidR="00F511B8">
          <w:rPr>
            <w:noProof/>
            <w:webHidden/>
          </w:rPr>
          <w:fldChar w:fldCharType="end"/>
        </w:r>
      </w:hyperlink>
    </w:p>
    <w:p w14:paraId="3F89DC0E" w14:textId="13D3227F" w:rsidR="00F511B8" w:rsidRDefault="004D4F58">
      <w:pPr>
        <w:pStyle w:val="TOC2"/>
        <w:tabs>
          <w:tab w:val="left" w:pos="1134"/>
        </w:tabs>
        <w:rPr>
          <w:rFonts w:eastAsiaTheme="minorEastAsia"/>
          <w:noProof/>
          <w:spacing w:val="0"/>
          <w:sz w:val="22"/>
          <w:lang w:eastAsia="en-AU"/>
        </w:rPr>
      </w:pPr>
      <w:hyperlink w:anchor="_Toc48921257" w:history="1">
        <w:r w:rsidR="00F511B8" w:rsidRPr="00A978BB">
          <w:rPr>
            <w:rStyle w:val="Hyperlink"/>
            <w:noProof/>
          </w:rPr>
          <w:t>(b)</w:t>
        </w:r>
        <w:r w:rsidR="00F511B8">
          <w:rPr>
            <w:rFonts w:eastAsiaTheme="minorEastAsia"/>
            <w:noProof/>
            <w:spacing w:val="0"/>
            <w:sz w:val="22"/>
            <w:lang w:eastAsia="en-AU"/>
          </w:rPr>
          <w:tab/>
        </w:r>
        <w:r w:rsidR="00F511B8" w:rsidRPr="00A978BB">
          <w:rPr>
            <w:rStyle w:val="Hyperlink"/>
            <w:noProof/>
          </w:rPr>
          <w:t>Privileging religion over other human rights (s 3)</w:t>
        </w:r>
        <w:r w:rsidR="00F511B8">
          <w:rPr>
            <w:noProof/>
            <w:webHidden/>
          </w:rPr>
          <w:tab/>
        </w:r>
        <w:r w:rsidR="00F511B8">
          <w:rPr>
            <w:noProof/>
            <w:webHidden/>
          </w:rPr>
          <w:fldChar w:fldCharType="begin"/>
        </w:r>
        <w:r w:rsidR="00F511B8">
          <w:rPr>
            <w:noProof/>
            <w:webHidden/>
          </w:rPr>
          <w:instrText xml:space="preserve"> PAGEREF _Toc48921257 \h </w:instrText>
        </w:r>
        <w:r w:rsidR="00F511B8">
          <w:rPr>
            <w:noProof/>
            <w:webHidden/>
          </w:rPr>
        </w:r>
        <w:r w:rsidR="00F511B8">
          <w:rPr>
            <w:noProof/>
            <w:webHidden/>
          </w:rPr>
          <w:fldChar w:fldCharType="separate"/>
        </w:r>
        <w:r w:rsidR="001E2C84">
          <w:rPr>
            <w:noProof/>
            <w:webHidden/>
          </w:rPr>
          <w:t>13</w:t>
        </w:r>
        <w:r w:rsidR="00F511B8">
          <w:rPr>
            <w:noProof/>
            <w:webHidden/>
          </w:rPr>
          <w:fldChar w:fldCharType="end"/>
        </w:r>
      </w:hyperlink>
    </w:p>
    <w:p w14:paraId="26CBD449" w14:textId="7CDF3C17" w:rsidR="00F511B8" w:rsidRDefault="004D4F58">
      <w:pPr>
        <w:pStyle w:val="TOC2"/>
        <w:tabs>
          <w:tab w:val="left" w:pos="1134"/>
        </w:tabs>
        <w:rPr>
          <w:rFonts w:eastAsiaTheme="minorEastAsia"/>
          <w:noProof/>
          <w:spacing w:val="0"/>
          <w:sz w:val="22"/>
          <w:lang w:eastAsia="en-AU"/>
        </w:rPr>
      </w:pPr>
      <w:hyperlink w:anchor="_Toc48921258" w:history="1">
        <w:r w:rsidR="00F511B8" w:rsidRPr="00A978BB">
          <w:rPr>
            <w:rStyle w:val="Hyperlink"/>
            <w:noProof/>
          </w:rPr>
          <w:t>(c)</w:t>
        </w:r>
        <w:r w:rsidR="00F511B8">
          <w:rPr>
            <w:rFonts w:eastAsiaTheme="minorEastAsia"/>
            <w:noProof/>
            <w:spacing w:val="0"/>
            <w:sz w:val="22"/>
            <w:lang w:eastAsia="en-AU"/>
          </w:rPr>
          <w:tab/>
        </w:r>
        <w:r w:rsidR="00F511B8" w:rsidRPr="00A978BB">
          <w:rPr>
            <w:rStyle w:val="Hyperlink"/>
            <w:noProof/>
          </w:rPr>
          <w:t>Protecting unlawful and unprofessional conduct (definitions of ‘religious activities’ and ‘religious beliefs’)</w:t>
        </w:r>
        <w:r w:rsidR="00F511B8">
          <w:rPr>
            <w:noProof/>
            <w:webHidden/>
          </w:rPr>
          <w:tab/>
        </w:r>
        <w:r w:rsidR="00F511B8">
          <w:rPr>
            <w:noProof/>
            <w:webHidden/>
          </w:rPr>
          <w:fldChar w:fldCharType="begin"/>
        </w:r>
        <w:r w:rsidR="00F511B8">
          <w:rPr>
            <w:noProof/>
            <w:webHidden/>
          </w:rPr>
          <w:instrText xml:space="preserve"> PAGEREF _Toc48921258 \h </w:instrText>
        </w:r>
        <w:r w:rsidR="00F511B8">
          <w:rPr>
            <w:noProof/>
            <w:webHidden/>
          </w:rPr>
        </w:r>
        <w:r w:rsidR="00F511B8">
          <w:rPr>
            <w:noProof/>
            <w:webHidden/>
          </w:rPr>
          <w:fldChar w:fldCharType="separate"/>
        </w:r>
        <w:r w:rsidR="001E2C84">
          <w:rPr>
            <w:noProof/>
            <w:webHidden/>
          </w:rPr>
          <w:t>14</w:t>
        </w:r>
        <w:r w:rsidR="00F511B8">
          <w:rPr>
            <w:noProof/>
            <w:webHidden/>
          </w:rPr>
          <w:fldChar w:fldCharType="end"/>
        </w:r>
      </w:hyperlink>
    </w:p>
    <w:p w14:paraId="749BCE22" w14:textId="7C160E3F" w:rsidR="00F511B8" w:rsidRDefault="004D4F58">
      <w:pPr>
        <w:pStyle w:val="TOC1"/>
        <w:rPr>
          <w:rFonts w:eastAsiaTheme="minorEastAsia"/>
          <w:noProof/>
          <w:spacing w:val="0"/>
          <w:sz w:val="22"/>
          <w:lang w:eastAsia="en-AU"/>
        </w:rPr>
      </w:pPr>
      <w:hyperlink w:anchor="_Toc48921259" w:history="1">
        <w:r w:rsidR="00F511B8" w:rsidRPr="00A978BB">
          <w:rPr>
            <w:rStyle w:val="Hyperlink"/>
            <w:noProof/>
          </w:rPr>
          <w:t>4.</w:t>
        </w:r>
        <w:r w:rsidR="00F511B8">
          <w:rPr>
            <w:rFonts w:eastAsiaTheme="minorEastAsia"/>
            <w:noProof/>
            <w:spacing w:val="0"/>
            <w:sz w:val="22"/>
            <w:lang w:eastAsia="en-AU"/>
          </w:rPr>
          <w:tab/>
        </w:r>
        <w:r w:rsidR="00F511B8" w:rsidRPr="00A978BB">
          <w:rPr>
            <w:rStyle w:val="Hyperlink"/>
            <w:noProof/>
          </w:rPr>
          <w:t>Unequal protections for people of faith</w:t>
        </w:r>
        <w:r w:rsidR="00F511B8">
          <w:rPr>
            <w:noProof/>
            <w:webHidden/>
          </w:rPr>
          <w:tab/>
        </w:r>
        <w:r w:rsidR="00F511B8">
          <w:rPr>
            <w:noProof/>
            <w:webHidden/>
          </w:rPr>
          <w:fldChar w:fldCharType="begin"/>
        </w:r>
        <w:r w:rsidR="00F511B8">
          <w:rPr>
            <w:noProof/>
            <w:webHidden/>
          </w:rPr>
          <w:instrText xml:space="preserve"> PAGEREF _Toc48921259 \h </w:instrText>
        </w:r>
        <w:r w:rsidR="00F511B8">
          <w:rPr>
            <w:noProof/>
            <w:webHidden/>
          </w:rPr>
        </w:r>
        <w:r w:rsidR="00F511B8">
          <w:rPr>
            <w:noProof/>
            <w:webHidden/>
          </w:rPr>
          <w:fldChar w:fldCharType="separate"/>
        </w:r>
        <w:r w:rsidR="001E2C84">
          <w:rPr>
            <w:noProof/>
            <w:webHidden/>
          </w:rPr>
          <w:t>16</w:t>
        </w:r>
        <w:r w:rsidR="00F511B8">
          <w:rPr>
            <w:noProof/>
            <w:webHidden/>
          </w:rPr>
          <w:fldChar w:fldCharType="end"/>
        </w:r>
      </w:hyperlink>
    </w:p>
    <w:p w14:paraId="183FD17C" w14:textId="6E7EF0DB" w:rsidR="00F511B8" w:rsidRDefault="004D4F58">
      <w:pPr>
        <w:pStyle w:val="TOC2"/>
        <w:tabs>
          <w:tab w:val="left" w:pos="1134"/>
        </w:tabs>
        <w:rPr>
          <w:rFonts w:eastAsiaTheme="minorEastAsia"/>
          <w:noProof/>
          <w:spacing w:val="0"/>
          <w:sz w:val="22"/>
          <w:lang w:eastAsia="en-AU"/>
        </w:rPr>
      </w:pPr>
      <w:hyperlink w:anchor="_Toc48921260" w:history="1">
        <w:r w:rsidR="00F511B8" w:rsidRPr="00A978BB">
          <w:rPr>
            <w:rStyle w:val="Hyperlink"/>
            <w:noProof/>
          </w:rPr>
          <w:t>(a)</w:t>
        </w:r>
        <w:r w:rsidR="00F511B8">
          <w:rPr>
            <w:rFonts w:eastAsiaTheme="minorEastAsia"/>
            <w:noProof/>
            <w:spacing w:val="0"/>
            <w:sz w:val="22"/>
            <w:lang w:eastAsia="en-AU"/>
          </w:rPr>
          <w:tab/>
        </w:r>
        <w:r w:rsidR="00F511B8" w:rsidRPr="00A978BB">
          <w:rPr>
            <w:rStyle w:val="Hyperlink"/>
            <w:noProof/>
          </w:rPr>
          <w:t>Vilification protections</w:t>
        </w:r>
        <w:r w:rsidR="00F511B8">
          <w:rPr>
            <w:noProof/>
            <w:webHidden/>
          </w:rPr>
          <w:tab/>
        </w:r>
        <w:r w:rsidR="00F511B8">
          <w:rPr>
            <w:noProof/>
            <w:webHidden/>
          </w:rPr>
          <w:fldChar w:fldCharType="begin"/>
        </w:r>
        <w:r w:rsidR="00F511B8">
          <w:rPr>
            <w:noProof/>
            <w:webHidden/>
          </w:rPr>
          <w:instrText xml:space="preserve"> PAGEREF _Toc48921260 \h </w:instrText>
        </w:r>
        <w:r w:rsidR="00F511B8">
          <w:rPr>
            <w:noProof/>
            <w:webHidden/>
          </w:rPr>
        </w:r>
        <w:r w:rsidR="00F511B8">
          <w:rPr>
            <w:noProof/>
            <w:webHidden/>
          </w:rPr>
          <w:fldChar w:fldCharType="separate"/>
        </w:r>
        <w:r w:rsidR="001E2C84">
          <w:rPr>
            <w:noProof/>
            <w:webHidden/>
          </w:rPr>
          <w:t>16</w:t>
        </w:r>
        <w:r w:rsidR="00F511B8">
          <w:rPr>
            <w:noProof/>
            <w:webHidden/>
          </w:rPr>
          <w:fldChar w:fldCharType="end"/>
        </w:r>
      </w:hyperlink>
    </w:p>
    <w:p w14:paraId="63544182" w14:textId="4F3F7824" w:rsidR="00F511B8" w:rsidRDefault="004D4F58">
      <w:pPr>
        <w:pStyle w:val="TOC2"/>
        <w:tabs>
          <w:tab w:val="left" w:pos="1134"/>
        </w:tabs>
        <w:rPr>
          <w:rFonts w:eastAsiaTheme="minorEastAsia"/>
          <w:noProof/>
          <w:spacing w:val="0"/>
          <w:sz w:val="22"/>
          <w:lang w:eastAsia="en-AU"/>
        </w:rPr>
      </w:pPr>
      <w:hyperlink w:anchor="_Toc48921261" w:history="1">
        <w:r w:rsidR="00F511B8" w:rsidRPr="00A978BB">
          <w:rPr>
            <w:rStyle w:val="Hyperlink"/>
            <w:noProof/>
          </w:rPr>
          <w:t>(b)</w:t>
        </w:r>
        <w:r w:rsidR="00F511B8">
          <w:rPr>
            <w:rFonts w:eastAsiaTheme="minorEastAsia"/>
            <w:noProof/>
            <w:spacing w:val="0"/>
            <w:sz w:val="22"/>
            <w:lang w:eastAsia="en-AU"/>
          </w:rPr>
          <w:tab/>
        </w:r>
        <w:r w:rsidR="00F511B8" w:rsidRPr="00A978BB">
          <w:rPr>
            <w:rStyle w:val="Hyperlink"/>
            <w:noProof/>
          </w:rPr>
          <w:t>‘Banning the burqa?’ (s 22N(6))</w:t>
        </w:r>
        <w:r w:rsidR="00F511B8">
          <w:rPr>
            <w:noProof/>
            <w:webHidden/>
          </w:rPr>
          <w:tab/>
        </w:r>
        <w:r w:rsidR="00F511B8">
          <w:rPr>
            <w:noProof/>
            <w:webHidden/>
          </w:rPr>
          <w:fldChar w:fldCharType="begin"/>
        </w:r>
        <w:r w:rsidR="00F511B8">
          <w:rPr>
            <w:noProof/>
            <w:webHidden/>
          </w:rPr>
          <w:instrText xml:space="preserve"> PAGEREF _Toc48921261 \h </w:instrText>
        </w:r>
        <w:r w:rsidR="00F511B8">
          <w:rPr>
            <w:noProof/>
            <w:webHidden/>
          </w:rPr>
        </w:r>
        <w:r w:rsidR="00F511B8">
          <w:rPr>
            <w:noProof/>
            <w:webHidden/>
          </w:rPr>
          <w:fldChar w:fldCharType="separate"/>
        </w:r>
        <w:r w:rsidR="001E2C84">
          <w:rPr>
            <w:noProof/>
            <w:webHidden/>
          </w:rPr>
          <w:t>17</w:t>
        </w:r>
        <w:r w:rsidR="00F511B8">
          <w:rPr>
            <w:noProof/>
            <w:webHidden/>
          </w:rPr>
          <w:fldChar w:fldCharType="end"/>
        </w:r>
      </w:hyperlink>
    </w:p>
    <w:p w14:paraId="326212A9" w14:textId="41FBEC58" w:rsidR="00F511B8" w:rsidRDefault="004D4F58">
      <w:pPr>
        <w:pStyle w:val="TOC2"/>
        <w:tabs>
          <w:tab w:val="left" w:pos="1134"/>
        </w:tabs>
        <w:rPr>
          <w:rFonts w:eastAsiaTheme="minorEastAsia"/>
          <w:noProof/>
          <w:spacing w:val="0"/>
          <w:sz w:val="22"/>
          <w:lang w:eastAsia="en-AU"/>
        </w:rPr>
      </w:pPr>
      <w:hyperlink w:anchor="_Toc48921262" w:history="1">
        <w:r w:rsidR="00F511B8" w:rsidRPr="00A978BB">
          <w:rPr>
            <w:rStyle w:val="Hyperlink"/>
            <w:noProof/>
          </w:rPr>
          <w:t>(c)</w:t>
        </w:r>
        <w:r w:rsidR="00F511B8">
          <w:rPr>
            <w:rFonts w:eastAsiaTheme="minorEastAsia"/>
            <w:noProof/>
            <w:spacing w:val="0"/>
            <w:sz w:val="22"/>
            <w:lang w:eastAsia="en-AU"/>
          </w:rPr>
          <w:tab/>
        </w:r>
        <w:r w:rsidR="00F511B8" w:rsidRPr="00A978BB">
          <w:rPr>
            <w:rStyle w:val="Hyperlink"/>
            <w:noProof/>
          </w:rPr>
          <w:t>Banning temporary exemptions (s 126)</w:t>
        </w:r>
        <w:r w:rsidR="00F511B8">
          <w:rPr>
            <w:noProof/>
            <w:webHidden/>
          </w:rPr>
          <w:tab/>
        </w:r>
        <w:r w:rsidR="00F511B8">
          <w:rPr>
            <w:noProof/>
            <w:webHidden/>
          </w:rPr>
          <w:fldChar w:fldCharType="begin"/>
        </w:r>
        <w:r w:rsidR="00F511B8">
          <w:rPr>
            <w:noProof/>
            <w:webHidden/>
          </w:rPr>
          <w:instrText xml:space="preserve"> PAGEREF _Toc48921262 \h </w:instrText>
        </w:r>
        <w:r w:rsidR="00F511B8">
          <w:rPr>
            <w:noProof/>
            <w:webHidden/>
          </w:rPr>
        </w:r>
        <w:r w:rsidR="00F511B8">
          <w:rPr>
            <w:noProof/>
            <w:webHidden/>
          </w:rPr>
          <w:fldChar w:fldCharType="separate"/>
        </w:r>
        <w:r w:rsidR="001E2C84">
          <w:rPr>
            <w:noProof/>
            <w:webHidden/>
          </w:rPr>
          <w:t>18</w:t>
        </w:r>
        <w:r w:rsidR="00F511B8">
          <w:rPr>
            <w:noProof/>
            <w:webHidden/>
          </w:rPr>
          <w:fldChar w:fldCharType="end"/>
        </w:r>
      </w:hyperlink>
    </w:p>
    <w:p w14:paraId="7772AF96" w14:textId="33412DE1" w:rsidR="00F511B8" w:rsidRDefault="004D4F58">
      <w:pPr>
        <w:pStyle w:val="TOC1"/>
        <w:rPr>
          <w:rFonts w:eastAsiaTheme="minorEastAsia"/>
          <w:noProof/>
          <w:spacing w:val="0"/>
          <w:sz w:val="22"/>
          <w:lang w:eastAsia="en-AU"/>
        </w:rPr>
      </w:pPr>
      <w:hyperlink w:anchor="_Toc48921263" w:history="1">
        <w:r w:rsidR="00F511B8" w:rsidRPr="00A978BB">
          <w:rPr>
            <w:rStyle w:val="Hyperlink"/>
            <w:noProof/>
          </w:rPr>
          <w:t>5.</w:t>
        </w:r>
        <w:r w:rsidR="00F511B8">
          <w:rPr>
            <w:rFonts w:eastAsiaTheme="minorEastAsia"/>
            <w:noProof/>
            <w:spacing w:val="0"/>
            <w:sz w:val="22"/>
            <w:lang w:eastAsia="en-AU"/>
          </w:rPr>
          <w:tab/>
        </w:r>
        <w:r w:rsidR="00F511B8" w:rsidRPr="00A978BB">
          <w:rPr>
            <w:rStyle w:val="Hyperlink"/>
            <w:noProof/>
          </w:rPr>
          <w:t>Other issues</w:t>
        </w:r>
        <w:r w:rsidR="00F511B8">
          <w:rPr>
            <w:noProof/>
            <w:webHidden/>
          </w:rPr>
          <w:tab/>
        </w:r>
        <w:r w:rsidR="00F511B8">
          <w:rPr>
            <w:noProof/>
            <w:webHidden/>
          </w:rPr>
          <w:fldChar w:fldCharType="begin"/>
        </w:r>
        <w:r w:rsidR="00F511B8">
          <w:rPr>
            <w:noProof/>
            <w:webHidden/>
          </w:rPr>
          <w:instrText xml:space="preserve"> PAGEREF _Toc48921263 \h </w:instrText>
        </w:r>
        <w:r w:rsidR="00F511B8">
          <w:rPr>
            <w:noProof/>
            <w:webHidden/>
          </w:rPr>
        </w:r>
        <w:r w:rsidR="00F511B8">
          <w:rPr>
            <w:noProof/>
            <w:webHidden/>
          </w:rPr>
          <w:fldChar w:fldCharType="separate"/>
        </w:r>
        <w:r w:rsidR="001E2C84">
          <w:rPr>
            <w:noProof/>
            <w:webHidden/>
          </w:rPr>
          <w:t>18</w:t>
        </w:r>
        <w:r w:rsidR="00F511B8">
          <w:rPr>
            <w:noProof/>
            <w:webHidden/>
          </w:rPr>
          <w:fldChar w:fldCharType="end"/>
        </w:r>
      </w:hyperlink>
    </w:p>
    <w:p w14:paraId="05C717AA" w14:textId="5083A945" w:rsidR="00F511B8" w:rsidRPr="00F511B8" w:rsidRDefault="004D4F58">
      <w:pPr>
        <w:pStyle w:val="TOC1"/>
        <w:rPr>
          <w:rFonts w:eastAsiaTheme="minorEastAsia"/>
          <w:b/>
          <w:bCs/>
          <w:noProof/>
          <w:spacing w:val="0"/>
          <w:sz w:val="22"/>
          <w:lang w:eastAsia="en-AU"/>
        </w:rPr>
      </w:pPr>
      <w:hyperlink w:anchor="_Toc48921264" w:history="1">
        <w:r w:rsidR="00F511B8" w:rsidRPr="00F511B8">
          <w:rPr>
            <w:rStyle w:val="Hyperlink"/>
            <w:b/>
            <w:bCs/>
            <w:noProof/>
          </w:rPr>
          <w:t>Reviewing the ADA</w:t>
        </w:r>
        <w:r w:rsidR="00F511B8" w:rsidRPr="00F511B8">
          <w:rPr>
            <w:b/>
            <w:bCs/>
            <w:noProof/>
            <w:webHidden/>
          </w:rPr>
          <w:tab/>
        </w:r>
        <w:r w:rsidR="00F511B8" w:rsidRPr="00F511B8">
          <w:rPr>
            <w:b/>
            <w:bCs/>
            <w:noProof/>
            <w:webHidden/>
          </w:rPr>
          <w:fldChar w:fldCharType="begin"/>
        </w:r>
        <w:r w:rsidR="00F511B8" w:rsidRPr="00F511B8">
          <w:rPr>
            <w:b/>
            <w:bCs/>
            <w:noProof/>
            <w:webHidden/>
          </w:rPr>
          <w:instrText xml:space="preserve"> PAGEREF _Toc48921264 \h </w:instrText>
        </w:r>
        <w:r w:rsidR="00F511B8" w:rsidRPr="00F511B8">
          <w:rPr>
            <w:b/>
            <w:bCs/>
            <w:noProof/>
            <w:webHidden/>
          </w:rPr>
        </w:r>
        <w:r w:rsidR="00F511B8" w:rsidRPr="00F511B8">
          <w:rPr>
            <w:b/>
            <w:bCs/>
            <w:noProof/>
            <w:webHidden/>
          </w:rPr>
          <w:fldChar w:fldCharType="separate"/>
        </w:r>
        <w:r w:rsidR="001E2C84">
          <w:rPr>
            <w:b/>
            <w:bCs/>
            <w:noProof/>
            <w:webHidden/>
          </w:rPr>
          <w:t>20</w:t>
        </w:r>
        <w:r w:rsidR="00F511B8" w:rsidRPr="00F511B8">
          <w:rPr>
            <w:b/>
            <w:bCs/>
            <w:noProof/>
            <w:webHidden/>
          </w:rPr>
          <w:fldChar w:fldCharType="end"/>
        </w:r>
      </w:hyperlink>
    </w:p>
    <w:p w14:paraId="41E38623" w14:textId="664DF209" w:rsidR="00F511B8" w:rsidRDefault="004D4F58">
      <w:pPr>
        <w:pStyle w:val="TOC1"/>
        <w:rPr>
          <w:rFonts w:eastAsiaTheme="minorEastAsia"/>
          <w:noProof/>
          <w:spacing w:val="0"/>
          <w:sz w:val="22"/>
          <w:lang w:eastAsia="en-AU"/>
        </w:rPr>
      </w:pPr>
      <w:hyperlink w:anchor="_Toc48921265" w:history="1">
        <w:r w:rsidR="00F511B8" w:rsidRPr="00A978BB">
          <w:rPr>
            <w:rStyle w:val="Hyperlink"/>
            <w:noProof/>
          </w:rPr>
          <w:t>6.</w:t>
        </w:r>
        <w:r w:rsidR="00F511B8">
          <w:rPr>
            <w:rFonts w:eastAsiaTheme="minorEastAsia"/>
            <w:noProof/>
            <w:spacing w:val="0"/>
            <w:sz w:val="22"/>
            <w:lang w:eastAsia="en-AU"/>
          </w:rPr>
          <w:tab/>
        </w:r>
        <w:r w:rsidR="00F511B8" w:rsidRPr="00A978BB">
          <w:rPr>
            <w:rStyle w:val="Hyperlink"/>
            <w:noProof/>
          </w:rPr>
          <w:t>Other problems with the ADA</w:t>
        </w:r>
        <w:r w:rsidR="00F511B8">
          <w:rPr>
            <w:noProof/>
            <w:webHidden/>
          </w:rPr>
          <w:tab/>
        </w:r>
        <w:r w:rsidR="00F511B8">
          <w:rPr>
            <w:noProof/>
            <w:webHidden/>
          </w:rPr>
          <w:fldChar w:fldCharType="begin"/>
        </w:r>
        <w:r w:rsidR="00F511B8">
          <w:rPr>
            <w:noProof/>
            <w:webHidden/>
          </w:rPr>
          <w:instrText xml:space="preserve"> PAGEREF _Toc48921265 \h </w:instrText>
        </w:r>
        <w:r w:rsidR="00F511B8">
          <w:rPr>
            <w:noProof/>
            <w:webHidden/>
          </w:rPr>
        </w:r>
        <w:r w:rsidR="00F511B8">
          <w:rPr>
            <w:noProof/>
            <w:webHidden/>
          </w:rPr>
          <w:fldChar w:fldCharType="separate"/>
        </w:r>
        <w:r w:rsidR="001E2C84">
          <w:rPr>
            <w:noProof/>
            <w:webHidden/>
          </w:rPr>
          <w:t>20</w:t>
        </w:r>
        <w:r w:rsidR="00F511B8">
          <w:rPr>
            <w:noProof/>
            <w:webHidden/>
          </w:rPr>
          <w:fldChar w:fldCharType="end"/>
        </w:r>
      </w:hyperlink>
    </w:p>
    <w:p w14:paraId="509DBB17" w14:textId="7CDE50D5" w:rsidR="00F511B8" w:rsidRDefault="004D4F58">
      <w:pPr>
        <w:pStyle w:val="TOC1"/>
        <w:rPr>
          <w:rFonts w:eastAsiaTheme="minorEastAsia"/>
          <w:noProof/>
          <w:spacing w:val="0"/>
          <w:sz w:val="22"/>
          <w:lang w:eastAsia="en-AU"/>
        </w:rPr>
      </w:pPr>
      <w:hyperlink w:anchor="_Toc48921266" w:history="1">
        <w:r w:rsidR="00F511B8" w:rsidRPr="00A978BB">
          <w:rPr>
            <w:rStyle w:val="Hyperlink"/>
            <w:noProof/>
          </w:rPr>
          <w:t>7.</w:t>
        </w:r>
        <w:r w:rsidR="00F511B8">
          <w:rPr>
            <w:rFonts w:eastAsiaTheme="minorEastAsia"/>
            <w:noProof/>
            <w:spacing w:val="0"/>
            <w:sz w:val="22"/>
            <w:lang w:eastAsia="en-AU"/>
          </w:rPr>
          <w:tab/>
        </w:r>
        <w:r w:rsidR="00F511B8" w:rsidRPr="00A978BB">
          <w:rPr>
            <w:rStyle w:val="Hyperlink"/>
            <w:noProof/>
          </w:rPr>
          <w:t>Religious discrimination protections need careful thought</w:t>
        </w:r>
        <w:r w:rsidR="00F511B8">
          <w:rPr>
            <w:noProof/>
            <w:webHidden/>
          </w:rPr>
          <w:tab/>
        </w:r>
        <w:r w:rsidR="00F511B8">
          <w:rPr>
            <w:noProof/>
            <w:webHidden/>
          </w:rPr>
          <w:fldChar w:fldCharType="begin"/>
        </w:r>
        <w:r w:rsidR="00F511B8">
          <w:rPr>
            <w:noProof/>
            <w:webHidden/>
          </w:rPr>
          <w:instrText xml:space="preserve"> PAGEREF _Toc48921266 \h </w:instrText>
        </w:r>
        <w:r w:rsidR="00F511B8">
          <w:rPr>
            <w:noProof/>
            <w:webHidden/>
          </w:rPr>
        </w:r>
        <w:r w:rsidR="00F511B8">
          <w:rPr>
            <w:noProof/>
            <w:webHidden/>
          </w:rPr>
          <w:fldChar w:fldCharType="separate"/>
        </w:r>
        <w:r w:rsidR="001E2C84">
          <w:rPr>
            <w:noProof/>
            <w:webHidden/>
          </w:rPr>
          <w:t>20</w:t>
        </w:r>
        <w:r w:rsidR="00F511B8">
          <w:rPr>
            <w:noProof/>
            <w:webHidden/>
          </w:rPr>
          <w:fldChar w:fldCharType="end"/>
        </w:r>
      </w:hyperlink>
    </w:p>
    <w:p w14:paraId="4A19386E" w14:textId="4E1F3B0B" w:rsidR="00BB79D2" w:rsidRPr="00BB79D2" w:rsidRDefault="00BB79D2" w:rsidP="00BB79D2">
      <w:r>
        <w:rPr>
          <w:color w:val="2B579A"/>
          <w:shd w:val="clear" w:color="auto" w:fill="E6E6E6"/>
        </w:rPr>
        <w:fldChar w:fldCharType="end"/>
      </w:r>
    </w:p>
    <w:p w14:paraId="45A7AA0E" w14:textId="77777777" w:rsidR="00BB79D2" w:rsidRPr="00BB79D2" w:rsidRDefault="00BB79D2" w:rsidP="00BB79D2"/>
    <w:p w14:paraId="0FAC8852" w14:textId="68F67213" w:rsidR="00BB79D2" w:rsidRDefault="00BB79D2" w:rsidP="00CA34DF">
      <w:pPr>
        <w:pStyle w:val="Section"/>
        <w:sectPr w:rsidR="00BB79D2" w:rsidSect="0011785E">
          <w:headerReference w:type="default" r:id="rId17"/>
          <w:footerReference w:type="default" r:id="rId18"/>
          <w:pgSz w:w="11907" w:h="16840" w:code="9"/>
          <w:pgMar w:top="1644" w:right="1021" w:bottom="1644" w:left="1985" w:header="709" w:footer="232" w:gutter="0"/>
          <w:pgNumType w:start="1"/>
          <w:cols w:space="708"/>
          <w:docGrid w:linePitch="360"/>
        </w:sectPr>
      </w:pPr>
    </w:p>
    <w:p w14:paraId="399A72F4" w14:textId="74EC1161" w:rsidR="00D25D66" w:rsidRPr="00F511B8" w:rsidRDefault="00F511B8" w:rsidP="00F511B8">
      <w:pPr>
        <w:pStyle w:val="Heading3"/>
      </w:pPr>
      <w:r>
        <w:lastRenderedPageBreak/>
        <w:t>About Equality Australia</w:t>
      </w:r>
    </w:p>
    <w:p w14:paraId="55A3F5E4" w14:textId="693DD796" w:rsidR="00CD5FEA" w:rsidRDefault="00CD5FEA" w:rsidP="00CD5FEA">
      <w:r>
        <w:t>Equality Australia is a national LGBTIQ+ organisation dedicated to achieving equality for LGBTIQ+ people.</w:t>
      </w:r>
    </w:p>
    <w:p w14:paraId="0E1D067F" w14:textId="77777777" w:rsidR="00CD5FEA" w:rsidRDefault="00CD5FEA" w:rsidP="00CD5FEA">
      <w:r>
        <w:t>Equality Australia has been built from the Equality Campaign, which ran the successful campaign for marriage equality, and was established with support from the Human Rights Law Centre.</w:t>
      </w:r>
    </w:p>
    <w:p w14:paraId="0A8EE160" w14:textId="1F63B2B2" w:rsidR="00CD5FEA" w:rsidRDefault="00CD5FEA" w:rsidP="00CD5FEA">
      <w:r w:rsidRPr="00CD5FEA">
        <w:rPr>
          <w:b/>
        </w:rPr>
        <w:t>Sydney office:</w:t>
      </w:r>
      <w:r>
        <w:t xml:space="preserve"> 414 Elizabeth Street Surry Hills NSW 2010 </w:t>
      </w:r>
      <w:r w:rsidR="00F511B8">
        <w:br/>
      </w:r>
      <w:r w:rsidRPr="00CD5FEA">
        <w:rPr>
          <w:b/>
        </w:rPr>
        <w:t>Melbourne office:</w:t>
      </w:r>
      <w:r>
        <w:t xml:space="preserve"> Level 17,461 Bourke St Melbourne VIC 3000</w:t>
      </w:r>
    </w:p>
    <w:p w14:paraId="3BB84F2C" w14:textId="4ECB2543" w:rsidR="00CD5FEA" w:rsidRDefault="00CD5FEA" w:rsidP="00CD5FEA">
      <w:r w:rsidRPr="00CD5FEA">
        <w:rPr>
          <w:b/>
        </w:rPr>
        <w:t>Telephone:</w:t>
      </w:r>
      <w:r>
        <w:t xml:space="preserve"> +61 03 9999 4527 </w:t>
      </w:r>
      <w:r w:rsidR="00F511B8">
        <w:br/>
      </w:r>
      <w:r w:rsidRPr="00CD5FEA">
        <w:rPr>
          <w:b/>
        </w:rPr>
        <w:t>Email:</w:t>
      </w:r>
      <w:r>
        <w:t xml:space="preserve"> </w:t>
      </w:r>
      <w:hyperlink r:id="rId19" w:history="1">
        <w:r w:rsidRPr="00B17CA7">
          <w:rPr>
            <w:rStyle w:val="Hyperlink"/>
          </w:rPr>
          <w:t>info@equalityaustralia.org.au</w:t>
        </w:r>
      </w:hyperlink>
    </w:p>
    <w:p w14:paraId="1D64622C" w14:textId="77777777" w:rsidR="00CD5FEA" w:rsidRDefault="00CD5FEA" w:rsidP="00CD5FEA">
      <w:r>
        <w:t>www.equalityaustralia.org.au</w:t>
      </w:r>
    </w:p>
    <w:p w14:paraId="2F16FD5D" w14:textId="77777777" w:rsidR="00CD5FEA" w:rsidRDefault="00CD5FEA" w:rsidP="00CD5FEA">
      <w:r>
        <w:t>We acknowledge that our offices are on the land of the Kulin Nation and the land of the Eora Nation and we pay our respects to their traditional owners.</w:t>
      </w:r>
    </w:p>
    <w:p w14:paraId="2F4AA146" w14:textId="39CC72AE" w:rsidR="00D25D66" w:rsidRDefault="00CD5FEA" w:rsidP="00CD5FEA">
      <w:r>
        <w:t>Equality Australia has no issues with making this submission public.</w:t>
      </w:r>
    </w:p>
    <w:p w14:paraId="735853AD" w14:textId="77777777" w:rsidR="00CD5FEA" w:rsidRDefault="00CD5FEA" w:rsidP="00CD5FEA"/>
    <w:p w14:paraId="5530914A" w14:textId="4342B8EC" w:rsidR="00D25D66" w:rsidRDefault="00D25D66">
      <w:pPr>
        <w:spacing w:before="0" w:after="160" w:line="259" w:lineRule="auto"/>
      </w:pPr>
      <w:r>
        <w:br w:type="page"/>
      </w:r>
    </w:p>
    <w:p w14:paraId="08E1C14F" w14:textId="1B80DC91" w:rsidR="00CA34DF" w:rsidRDefault="002035AC" w:rsidP="00CA34DF">
      <w:pPr>
        <w:pStyle w:val="Section"/>
      </w:pPr>
      <w:bookmarkStart w:id="0" w:name="_Toc48921243"/>
      <w:r>
        <w:lastRenderedPageBreak/>
        <w:t>E</w:t>
      </w:r>
      <w:r w:rsidR="00CB0244">
        <w:t>xecutive summary</w:t>
      </w:r>
      <w:bookmarkEnd w:id="0"/>
    </w:p>
    <w:p w14:paraId="5D3FB785" w14:textId="2763D90B" w:rsidR="00D3682E" w:rsidRDefault="00D3682E" w:rsidP="00D3682E">
      <w:pPr>
        <w:rPr>
          <w:rStyle w:val="PageNumber"/>
        </w:rPr>
      </w:pPr>
      <w:r>
        <w:rPr>
          <w:rStyle w:val="PageNumber"/>
        </w:rPr>
        <w:t xml:space="preserve">Equality Australia </w:t>
      </w:r>
      <w:r w:rsidR="008F3452">
        <w:rPr>
          <w:rStyle w:val="PageNumber"/>
        </w:rPr>
        <w:t xml:space="preserve">welcomes the invitation to make a submission to the Joint </w:t>
      </w:r>
      <w:r w:rsidR="00E87B09">
        <w:rPr>
          <w:rStyle w:val="PageNumber"/>
        </w:rPr>
        <w:t xml:space="preserve">Select Committee on the Anti-Discrimination Amendment (Religious Freedoms and Equality) Bill 2020 (NSW) (the </w:t>
      </w:r>
      <w:r w:rsidR="00E87B09" w:rsidRPr="00E87B09">
        <w:rPr>
          <w:rStyle w:val="PageNumber"/>
          <w:b/>
          <w:bCs/>
        </w:rPr>
        <w:t>Bill</w:t>
      </w:r>
      <w:r w:rsidR="00E87B09">
        <w:rPr>
          <w:rStyle w:val="PageNumber"/>
        </w:rPr>
        <w:t>), introduced as a private members’ bill by One Nation NSW Leader</w:t>
      </w:r>
      <w:r w:rsidR="00767E20">
        <w:rPr>
          <w:rStyle w:val="PageNumber"/>
        </w:rPr>
        <w:t>,</w:t>
      </w:r>
      <w:r w:rsidR="00E87B09">
        <w:rPr>
          <w:rStyle w:val="PageNumber"/>
        </w:rPr>
        <w:t xml:space="preserve"> the Honourable Mark Latham MLC.</w:t>
      </w:r>
      <w:r w:rsidR="00AF6096">
        <w:rPr>
          <w:rStyle w:val="PageNumber"/>
        </w:rPr>
        <w:t xml:space="preserve">  The Bill proposes amendments to the </w:t>
      </w:r>
      <w:r w:rsidR="00AF6096" w:rsidRPr="00AF6096">
        <w:rPr>
          <w:rStyle w:val="PageNumber"/>
          <w:i/>
          <w:iCs/>
        </w:rPr>
        <w:t>Anti-Discrimination Act 1977</w:t>
      </w:r>
      <w:r w:rsidR="00AF6096">
        <w:rPr>
          <w:rStyle w:val="PageNumber"/>
        </w:rPr>
        <w:t xml:space="preserve"> (NSW) (the </w:t>
      </w:r>
      <w:r w:rsidR="0008590A">
        <w:rPr>
          <w:rStyle w:val="PageNumber"/>
          <w:b/>
          <w:bCs/>
        </w:rPr>
        <w:t>ADA</w:t>
      </w:r>
      <w:r w:rsidR="00AF6096">
        <w:rPr>
          <w:rStyle w:val="PageNumber"/>
        </w:rPr>
        <w:t>).</w:t>
      </w:r>
    </w:p>
    <w:p w14:paraId="12E00046" w14:textId="7C2C47C3" w:rsidR="00621728" w:rsidRDefault="00621728" w:rsidP="00D3682E">
      <w:pPr>
        <w:pStyle w:val="Intro"/>
        <w:rPr>
          <w:rStyle w:val="PageNumber"/>
        </w:rPr>
      </w:pPr>
      <w:r>
        <w:rPr>
          <w:rStyle w:val="PageNumber"/>
        </w:rPr>
        <w:t xml:space="preserve">Our laws should protect all of us, equally.  </w:t>
      </w:r>
      <w:r w:rsidR="004C77CD">
        <w:rPr>
          <w:rStyle w:val="PageNumber"/>
        </w:rPr>
        <w:t>This</w:t>
      </w:r>
      <w:r>
        <w:rPr>
          <w:rStyle w:val="PageNumber"/>
        </w:rPr>
        <w:t xml:space="preserve"> Bill fails to do</w:t>
      </w:r>
      <w:r w:rsidR="002D7F6B">
        <w:rPr>
          <w:rStyle w:val="PageNumber"/>
        </w:rPr>
        <w:t xml:space="preserve"> that.  It privileges the interests of some people and institutions over the rights of others, including LGBTIQ+ people, women, people with disabilities and even people with different or no beliefs.</w:t>
      </w:r>
      <w:r w:rsidR="002521FD">
        <w:rPr>
          <w:rStyle w:val="PageNumber"/>
        </w:rPr>
        <w:t xml:space="preserve">  For that reason, we oppose this Bill.</w:t>
      </w:r>
    </w:p>
    <w:p w14:paraId="70806919" w14:textId="62DD3E39" w:rsidR="001C6453" w:rsidRDefault="001C6453" w:rsidP="00D3682E">
      <w:pPr>
        <w:rPr>
          <w:rStyle w:val="PageNumber"/>
        </w:rPr>
      </w:pPr>
      <w:r>
        <w:rPr>
          <w:rStyle w:val="PageNumber"/>
        </w:rPr>
        <w:t xml:space="preserve">The Commonwealth Government has </w:t>
      </w:r>
      <w:r w:rsidR="002409A2">
        <w:rPr>
          <w:rStyle w:val="PageNumber"/>
        </w:rPr>
        <w:t xml:space="preserve">itself </w:t>
      </w:r>
      <w:r>
        <w:rPr>
          <w:rStyle w:val="PageNumber"/>
        </w:rPr>
        <w:t>been considering religious discrimination protections</w:t>
      </w:r>
      <w:r w:rsidR="002409A2">
        <w:rPr>
          <w:rStyle w:val="PageNumber"/>
        </w:rPr>
        <w:t>.  T</w:t>
      </w:r>
      <w:r>
        <w:rPr>
          <w:rStyle w:val="PageNumber"/>
        </w:rPr>
        <w:t>wo exposure drafts</w:t>
      </w:r>
      <w:r w:rsidR="002409A2">
        <w:rPr>
          <w:rStyle w:val="PageNumber"/>
        </w:rPr>
        <w:t xml:space="preserve"> have been</w:t>
      </w:r>
      <w:r>
        <w:rPr>
          <w:rStyle w:val="PageNumber"/>
        </w:rPr>
        <w:t xml:space="preserve"> released for consultation</w:t>
      </w:r>
      <w:r w:rsidR="002409A2">
        <w:rPr>
          <w:rStyle w:val="PageNumber"/>
        </w:rPr>
        <w:t xml:space="preserve">, neither of which has </w:t>
      </w:r>
      <w:r w:rsidR="002808A5">
        <w:rPr>
          <w:rStyle w:val="PageNumber"/>
        </w:rPr>
        <w:t xml:space="preserve">yet </w:t>
      </w:r>
      <w:r w:rsidR="002409A2">
        <w:rPr>
          <w:rStyle w:val="PageNumber"/>
        </w:rPr>
        <w:t xml:space="preserve">achieved community consensus.  Critics </w:t>
      </w:r>
      <w:r w:rsidR="00E0759E">
        <w:rPr>
          <w:rStyle w:val="PageNumber"/>
        </w:rPr>
        <w:t>of the proposal</w:t>
      </w:r>
      <w:r w:rsidR="004C77CD">
        <w:rPr>
          <w:rStyle w:val="PageNumber"/>
        </w:rPr>
        <w:t>s</w:t>
      </w:r>
      <w:r w:rsidR="00E0759E">
        <w:rPr>
          <w:rStyle w:val="PageNumber"/>
        </w:rPr>
        <w:t xml:space="preserve"> </w:t>
      </w:r>
      <w:r w:rsidR="002409A2">
        <w:rPr>
          <w:rStyle w:val="PageNumber"/>
        </w:rPr>
        <w:t xml:space="preserve">have included business, employee, faith-based, human rights, legal, medical professional, and </w:t>
      </w:r>
      <w:r w:rsidR="002808A5">
        <w:rPr>
          <w:rStyle w:val="PageNumber"/>
        </w:rPr>
        <w:t xml:space="preserve">many </w:t>
      </w:r>
      <w:r w:rsidR="002409A2">
        <w:rPr>
          <w:rStyle w:val="PageNumber"/>
        </w:rPr>
        <w:t>other groups.</w:t>
      </w:r>
      <w:r w:rsidR="002409A2">
        <w:rPr>
          <w:rStyle w:val="FootnoteReference"/>
        </w:rPr>
        <w:footnoteReference w:id="2"/>
      </w:r>
      <w:r w:rsidR="002409A2">
        <w:rPr>
          <w:rStyle w:val="PageNumber"/>
        </w:rPr>
        <w:t xml:space="preserve">  </w:t>
      </w:r>
      <w:r w:rsidR="00E0759E">
        <w:rPr>
          <w:rStyle w:val="PageNumber"/>
        </w:rPr>
        <w:t xml:space="preserve">This Bill is </w:t>
      </w:r>
      <w:r w:rsidR="002808A5">
        <w:rPr>
          <w:rStyle w:val="PageNumber"/>
        </w:rPr>
        <w:t>an</w:t>
      </w:r>
      <w:r w:rsidR="00E35556">
        <w:rPr>
          <w:rStyle w:val="PageNumber"/>
        </w:rPr>
        <w:t xml:space="preserve"> inferior attempt to </w:t>
      </w:r>
      <w:r w:rsidR="00886859">
        <w:rPr>
          <w:rStyle w:val="PageNumber"/>
        </w:rPr>
        <w:t>do</w:t>
      </w:r>
      <w:r w:rsidR="002808A5">
        <w:rPr>
          <w:rStyle w:val="PageNumber"/>
        </w:rPr>
        <w:t xml:space="preserve"> the work the </w:t>
      </w:r>
      <w:r w:rsidR="00E35556">
        <w:rPr>
          <w:rStyle w:val="PageNumber"/>
        </w:rPr>
        <w:t>Commonwealth Government</w:t>
      </w:r>
      <w:r w:rsidR="00886859">
        <w:rPr>
          <w:rStyle w:val="PageNumber"/>
        </w:rPr>
        <w:t xml:space="preserve"> is still grappling to do</w:t>
      </w:r>
      <w:r w:rsidR="002808A5">
        <w:rPr>
          <w:rStyle w:val="PageNumber"/>
        </w:rPr>
        <w:t>.</w:t>
      </w:r>
      <w:r w:rsidR="00E35556">
        <w:rPr>
          <w:rStyle w:val="PageNumber"/>
        </w:rPr>
        <w:t xml:space="preserve"> </w:t>
      </w:r>
    </w:p>
    <w:p w14:paraId="270CA670" w14:textId="2E87603D" w:rsidR="00D3682E" w:rsidRPr="00560027" w:rsidRDefault="003629DF" w:rsidP="00D3682E">
      <w:pPr>
        <w:rPr>
          <w:rStyle w:val="PageNumber"/>
        </w:rPr>
      </w:pPr>
      <w:r>
        <w:rPr>
          <w:rStyle w:val="PageNumber"/>
        </w:rPr>
        <w:t>As set out in this submission, t</w:t>
      </w:r>
      <w:r w:rsidR="002A777F">
        <w:rPr>
          <w:rStyle w:val="PageNumber"/>
        </w:rPr>
        <w:t>he problems with this Bill include:</w:t>
      </w:r>
    </w:p>
    <w:p w14:paraId="0F11E008" w14:textId="6B49DE62" w:rsidR="00D25991" w:rsidRPr="009673D0" w:rsidRDefault="00D25991" w:rsidP="00D3682E">
      <w:pPr>
        <w:pStyle w:val="Bullet"/>
        <w:rPr>
          <w:b/>
          <w:bCs/>
        </w:rPr>
      </w:pPr>
      <w:r w:rsidRPr="3B859BCD">
        <w:rPr>
          <w:rStyle w:val="PageNumber"/>
          <w:b/>
          <w:bCs/>
        </w:rPr>
        <w:t>No consequences for conduct</w:t>
      </w:r>
      <w:r w:rsidR="009673D0" w:rsidRPr="3B859BCD">
        <w:rPr>
          <w:rStyle w:val="PageNumber"/>
          <w:b/>
          <w:bCs/>
        </w:rPr>
        <w:t>:</w:t>
      </w:r>
      <w:r w:rsidRPr="3B859BCD">
        <w:rPr>
          <w:rStyle w:val="PageNumber"/>
          <w:b/>
          <w:bCs/>
        </w:rPr>
        <w:t xml:space="preserve">  </w:t>
      </w:r>
      <w:r w:rsidR="002A777F" w:rsidRPr="3B859BCD">
        <w:rPr>
          <w:rStyle w:val="PageNumber"/>
        </w:rPr>
        <w:t>This</w:t>
      </w:r>
      <w:r w:rsidR="00252323" w:rsidRPr="3B859BCD">
        <w:rPr>
          <w:rStyle w:val="PageNumber"/>
        </w:rPr>
        <w:t xml:space="preserve"> Bill </w:t>
      </w:r>
      <w:proofErr w:type="gramStart"/>
      <w:r w:rsidRPr="3B859BCD">
        <w:rPr>
          <w:rStyle w:val="PageNumber"/>
        </w:rPr>
        <w:t>permits</w:t>
      </w:r>
      <w:proofErr w:type="gramEnd"/>
      <w:r w:rsidRPr="3B859BCD">
        <w:rPr>
          <w:rStyle w:val="PageNumber"/>
        </w:rPr>
        <w:t xml:space="preserve"> people to </w:t>
      </w:r>
      <w:r w:rsidR="00C027D0" w:rsidRPr="3B859BCD">
        <w:rPr>
          <w:rStyle w:val="PageNumber"/>
        </w:rPr>
        <w:t>hide behind</w:t>
      </w:r>
      <w:r w:rsidRPr="3B859BCD">
        <w:rPr>
          <w:rStyle w:val="PageNumber"/>
        </w:rPr>
        <w:t xml:space="preserve"> religion to hurt others</w:t>
      </w:r>
      <w:r w:rsidR="00C901E7" w:rsidRPr="3B859BCD">
        <w:rPr>
          <w:rStyle w:val="PageNumber"/>
        </w:rPr>
        <w:t xml:space="preserve"> by providing immunity to </w:t>
      </w:r>
      <w:r w:rsidR="00CD5FEA">
        <w:rPr>
          <w:rStyle w:val="PageNumber"/>
        </w:rPr>
        <w:t xml:space="preserve">conduct </w:t>
      </w:r>
      <w:r w:rsidR="00C901E7" w:rsidRPr="3B859BCD">
        <w:rPr>
          <w:rStyle w:val="PageNumber"/>
        </w:rPr>
        <w:t>which may breach laws and professional standards</w:t>
      </w:r>
      <w:r w:rsidR="00A24A54" w:rsidRPr="00F511B8">
        <w:rPr>
          <w:rStyle w:val="PageNumber"/>
        </w:rPr>
        <w:t>.  It does</w:t>
      </w:r>
      <w:r w:rsidR="00252323" w:rsidRPr="00F511B8">
        <w:rPr>
          <w:rStyle w:val="PageNumber"/>
        </w:rPr>
        <w:t xml:space="preserve"> that</w:t>
      </w:r>
      <w:r w:rsidR="00A24A54" w:rsidRPr="00F511B8">
        <w:rPr>
          <w:rStyle w:val="PageNumber"/>
        </w:rPr>
        <w:t xml:space="preserve"> by </w:t>
      </w:r>
      <w:r w:rsidR="00A054CE" w:rsidRPr="00F511B8">
        <w:rPr>
          <w:rStyle w:val="PageNumber"/>
        </w:rPr>
        <w:t>imposing</w:t>
      </w:r>
      <w:r w:rsidR="00A24A54" w:rsidRPr="00F511B8">
        <w:rPr>
          <w:rStyle w:val="PageNumber"/>
        </w:rPr>
        <w:t xml:space="preserve"> legal </w:t>
      </w:r>
      <w:r w:rsidR="00CD5FEA" w:rsidRPr="00F511B8">
        <w:rPr>
          <w:rStyle w:val="PageNumber"/>
        </w:rPr>
        <w:t xml:space="preserve">provisions with </w:t>
      </w:r>
      <w:r w:rsidR="00D80B04" w:rsidRPr="00F511B8">
        <w:rPr>
          <w:rStyle w:val="PageNumber"/>
        </w:rPr>
        <w:t>narrow</w:t>
      </w:r>
      <w:r w:rsidR="00882B3C" w:rsidRPr="00F511B8">
        <w:rPr>
          <w:rStyle w:val="PageNumber"/>
        </w:rPr>
        <w:t xml:space="preserve"> </w:t>
      </w:r>
      <w:r w:rsidR="0007375F" w:rsidRPr="00F511B8">
        <w:rPr>
          <w:rStyle w:val="PageNumber"/>
        </w:rPr>
        <w:t xml:space="preserve">and sometimes arbitrary </w:t>
      </w:r>
      <w:r w:rsidR="00882B3C" w:rsidRPr="00F511B8">
        <w:rPr>
          <w:rStyle w:val="PageNumber"/>
        </w:rPr>
        <w:t>considerations</w:t>
      </w:r>
      <w:r w:rsidR="00C901E7" w:rsidRPr="00F511B8">
        <w:rPr>
          <w:rStyle w:val="PageNumber"/>
        </w:rPr>
        <w:t xml:space="preserve">, </w:t>
      </w:r>
      <w:r w:rsidR="00882B3C" w:rsidRPr="00F511B8">
        <w:rPr>
          <w:rStyle w:val="PageNumber"/>
        </w:rPr>
        <w:t>such</w:t>
      </w:r>
      <w:r w:rsidR="00882B3C" w:rsidRPr="3B859BCD">
        <w:rPr>
          <w:rStyle w:val="PageNumber"/>
        </w:rPr>
        <w:t xml:space="preserve"> as whether </w:t>
      </w:r>
      <w:r w:rsidR="00E44AA4" w:rsidRPr="3B859BCD">
        <w:rPr>
          <w:rStyle w:val="PageNumber"/>
        </w:rPr>
        <w:t xml:space="preserve">conduct occurs on the footpath outside </w:t>
      </w:r>
      <w:r w:rsidR="0007375F" w:rsidRPr="3B859BCD">
        <w:rPr>
          <w:rStyle w:val="PageNumber"/>
        </w:rPr>
        <w:t>a</w:t>
      </w:r>
      <w:r w:rsidR="00E44AA4" w:rsidRPr="3B859BCD">
        <w:rPr>
          <w:rStyle w:val="PageNumber"/>
        </w:rPr>
        <w:t xml:space="preserve"> workplace or school </w:t>
      </w:r>
      <w:r w:rsidR="0007375F" w:rsidRPr="3B859BCD">
        <w:rPr>
          <w:rStyle w:val="PageNumber"/>
        </w:rPr>
        <w:t xml:space="preserve">as opposed </w:t>
      </w:r>
      <w:r w:rsidR="001358AF" w:rsidRPr="3B859BCD">
        <w:rPr>
          <w:rStyle w:val="PageNumber"/>
        </w:rPr>
        <w:t>to inside the workplace or school</w:t>
      </w:r>
      <w:r w:rsidR="000370D2" w:rsidRPr="3B859BCD">
        <w:rPr>
          <w:rStyle w:val="PageNumber"/>
        </w:rPr>
        <w:t xml:space="preserve">.  </w:t>
      </w:r>
      <w:r w:rsidR="001358AF" w:rsidRPr="3B859BCD">
        <w:rPr>
          <w:rStyle w:val="PageNumber"/>
        </w:rPr>
        <w:t>The no consequences for conduct provisions (p</w:t>
      </w:r>
      <w:r w:rsidR="000370D2" w:rsidRPr="3B859BCD">
        <w:rPr>
          <w:rStyle w:val="PageNumber"/>
        </w:rPr>
        <w:t xml:space="preserve">roposed sections </w:t>
      </w:r>
      <w:r w:rsidR="000370D2">
        <w:t>22N(3)-(5), 22S(2)-(4) and 22V(3)-(5)</w:t>
      </w:r>
      <w:r w:rsidR="001358AF">
        <w:t xml:space="preserve">) </w:t>
      </w:r>
      <w:r w:rsidR="003F1DC3">
        <w:t xml:space="preserve">ignore </w:t>
      </w:r>
      <w:r w:rsidR="001358AF">
        <w:t xml:space="preserve">real </w:t>
      </w:r>
      <w:r w:rsidR="003F1DC3">
        <w:t>harm experienced by others, including co-workers, peers, customers or clients</w:t>
      </w:r>
      <w:r w:rsidR="008B4C4F">
        <w:t xml:space="preserve">, </w:t>
      </w:r>
      <w:r w:rsidR="00FF54E7">
        <w:t>that</w:t>
      </w:r>
      <w:r w:rsidR="008B4C4F">
        <w:t xml:space="preserve"> may justify employers, schools and professional bodies </w:t>
      </w:r>
      <w:r w:rsidR="00FF54E7">
        <w:t xml:space="preserve">taking </w:t>
      </w:r>
      <w:r w:rsidR="004E6E03">
        <w:t xml:space="preserve">reasonable </w:t>
      </w:r>
      <w:r w:rsidR="00FF54E7">
        <w:t xml:space="preserve">action </w:t>
      </w:r>
      <w:r w:rsidR="008B4C4F">
        <w:t>in appropriate cases</w:t>
      </w:r>
      <w:r w:rsidR="007E0D84">
        <w:t xml:space="preserve">.  </w:t>
      </w:r>
      <w:r w:rsidR="00CE3FD8">
        <w:t xml:space="preserve">In </w:t>
      </w:r>
      <w:r w:rsidR="00622351">
        <w:t>some cases</w:t>
      </w:r>
      <w:r w:rsidR="007E0D84">
        <w:t>, these provisions</w:t>
      </w:r>
      <w:r w:rsidR="00622351">
        <w:t xml:space="preserve"> </w:t>
      </w:r>
      <w:r w:rsidR="007E0D84">
        <w:t xml:space="preserve">would </w:t>
      </w:r>
      <w:r w:rsidR="00A054CE">
        <w:t xml:space="preserve">even </w:t>
      </w:r>
      <w:r w:rsidR="00622351">
        <w:t xml:space="preserve">allow a business to go under before </w:t>
      </w:r>
      <w:r w:rsidR="007E0D84">
        <w:t xml:space="preserve">they </w:t>
      </w:r>
      <w:r w:rsidR="00570B2C">
        <w:t xml:space="preserve">can take action to stop the </w:t>
      </w:r>
      <w:r w:rsidR="00A054CE">
        <w:t xml:space="preserve">financial and reputational </w:t>
      </w:r>
      <w:r w:rsidR="00570B2C">
        <w:t xml:space="preserve">harm caused by </w:t>
      </w:r>
      <w:r w:rsidR="00ED525C">
        <w:t xml:space="preserve">unacceptable </w:t>
      </w:r>
      <w:r w:rsidR="002F25EE">
        <w:t xml:space="preserve">conduct, regardless of whether </w:t>
      </w:r>
      <w:r w:rsidR="00CE3FD8">
        <w:t xml:space="preserve">it is </w:t>
      </w:r>
      <w:r w:rsidR="00C027D0">
        <w:t>religiously</w:t>
      </w:r>
      <w:r w:rsidR="009673D0">
        <w:t xml:space="preserve"> </w:t>
      </w:r>
      <w:r w:rsidR="00C027D0">
        <w:t>motivated or not.</w:t>
      </w:r>
    </w:p>
    <w:p w14:paraId="40F1DE63" w14:textId="7858CEBC" w:rsidR="009673D0" w:rsidRPr="0089277B" w:rsidRDefault="009673D0" w:rsidP="00D3682E">
      <w:pPr>
        <w:pStyle w:val="Bullet"/>
        <w:rPr>
          <w:b/>
          <w:bCs/>
        </w:rPr>
      </w:pPr>
      <w:r>
        <w:rPr>
          <w:rStyle w:val="PageNumber"/>
          <w:b/>
          <w:bCs/>
        </w:rPr>
        <w:t xml:space="preserve">Entrenching double standards in the law: </w:t>
      </w:r>
      <w:r w:rsidR="00EC7A5E">
        <w:rPr>
          <w:rStyle w:val="PageNumber"/>
          <w:b/>
          <w:bCs/>
        </w:rPr>
        <w:t xml:space="preserve"> </w:t>
      </w:r>
      <w:r w:rsidR="00CE3FD8" w:rsidRPr="00CE3FD8">
        <w:rPr>
          <w:rStyle w:val="PageNumber"/>
          <w:bCs/>
        </w:rPr>
        <w:t>T</w:t>
      </w:r>
      <w:r w:rsidR="00CE3FD8">
        <w:t xml:space="preserve">his </w:t>
      </w:r>
      <w:r w:rsidR="00EC7A5E" w:rsidRPr="00EC7A5E">
        <w:t xml:space="preserve">Bill contains broad exemptions allowing organisations (and possibly even commercial operations) </w:t>
      </w:r>
      <w:r w:rsidR="00CE3FD8" w:rsidRPr="00CE3FD8">
        <w:t xml:space="preserve">that define themselves as </w:t>
      </w:r>
      <w:r w:rsidR="00CE3FD8">
        <w:t xml:space="preserve">religious </w:t>
      </w:r>
      <w:r w:rsidR="00EC7A5E" w:rsidRPr="00EC7A5E">
        <w:t>to discriminate in employment, education, and service provision against others with different or no beliefs</w:t>
      </w:r>
      <w:r w:rsidR="004D0FB6">
        <w:t>, even when religion has no relevance to the role</w:t>
      </w:r>
      <w:r w:rsidR="002D00F0">
        <w:t xml:space="preserve"> </w:t>
      </w:r>
      <w:r w:rsidR="00C624A4">
        <w:t>or</w:t>
      </w:r>
      <w:r w:rsidR="004D0FB6">
        <w:t xml:space="preserve"> when services are taxpayer funded</w:t>
      </w:r>
      <w:r w:rsidR="002D00F0">
        <w:t>.</w:t>
      </w:r>
      <w:r w:rsidR="00FE2D23">
        <w:t xml:space="preserve"> </w:t>
      </w:r>
    </w:p>
    <w:p w14:paraId="2F13B808" w14:textId="2B1E5B08" w:rsidR="0089277B" w:rsidRDefault="00FE2D23" w:rsidP="00D3682E">
      <w:pPr>
        <w:pStyle w:val="Bullet"/>
      </w:pPr>
      <w:r>
        <w:rPr>
          <w:rStyle w:val="PageNumber"/>
          <w:b/>
          <w:bCs/>
        </w:rPr>
        <w:t>R</w:t>
      </w:r>
      <w:r w:rsidR="0089277B">
        <w:rPr>
          <w:rStyle w:val="PageNumber"/>
          <w:b/>
          <w:bCs/>
        </w:rPr>
        <w:t xml:space="preserve">eligious bill of rights:  </w:t>
      </w:r>
      <w:r w:rsidR="0089277B" w:rsidRPr="00D91CCE">
        <w:t xml:space="preserve">This Bill establishes a religious bill of rights which priorities religion above other human rights.  It </w:t>
      </w:r>
      <w:r w:rsidR="00627039">
        <w:t xml:space="preserve">allows </w:t>
      </w:r>
      <w:r w:rsidR="0089277B" w:rsidRPr="00D91CCE">
        <w:t xml:space="preserve">individuals </w:t>
      </w:r>
      <w:r w:rsidR="0089277B" w:rsidRPr="00941ABF">
        <w:t>and</w:t>
      </w:r>
      <w:r w:rsidR="0089277B" w:rsidRPr="00D91CCE">
        <w:t xml:space="preserve"> organisations </w:t>
      </w:r>
      <w:r w:rsidR="00452582">
        <w:t xml:space="preserve">that </w:t>
      </w:r>
      <w:r w:rsidR="00D712A8">
        <w:t xml:space="preserve">say </w:t>
      </w:r>
      <w:r w:rsidR="00CE3FD8">
        <w:t xml:space="preserve">define themselves as </w:t>
      </w:r>
      <w:r w:rsidR="00D712A8">
        <w:t xml:space="preserve">religious </w:t>
      </w:r>
      <w:r w:rsidR="0089277B" w:rsidRPr="00D91CCE">
        <w:t xml:space="preserve">to challenge NSW programs, policies, </w:t>
      </w:r>
      <w:proofErr w:type="gramStart"/>
      <w:r w:rsidR="0089277B" w:rsidRPr="00D91CCE">
        <w:t>contracts</w:t>
      </w:r>
      <w:proofErr w:type="gramEnd"/>
      <w:r w:rsidR="0089277B" w:rsidRPr="00D91CCE">
        <w:t xml:space="preserve"> and decisions which contradict their particular </w:t>
      </w:r>
      <w:r w:rsidR="00D712A8">
        <w:t>beliefs</w:t>
      </w:r>
      <w:r w:rsidR="0089277B" w:rsidRPr="00D91CCE">
        <w:t>.</w:t>
      </w:r>
      <w:r w:rsidR="00D91CCE">
        <w:t xml:space="preserve">  For example, </w:t>
      </w:r>
      <w:r w:rsidR="00141D96">
        <w:t>any</w:t>
      </w:r>
      <w:r w:rsidR="00627039">
        <w:t xml:space="preserve"> legal entity </w:t>
      </w:r>
      <w:r w:rsidR="00141D96">
        <w:t xml:space="preserve">which operates </w:t>
      </w:r>
      <w:r w:rsidR="00627039">
        <w:t>according to</w:t>
      </w:r>
      <w:r w:rsidR="009865A6">
        <w:t xml:space="preserve"> a</w:t>
      </w:r>
      <w:r w:rsidR="00803F59">
        <w:t>ny</w:t>
      </w:r>
      <w:r w:rsidR="0041297A">
        <w:t xml:space="preserve"> religious belief</w:t>
      </w:r>
      <w:r w:rsidR="009865A6">
        <w:t xml:space="preserve"> will be able to challenge</w:t>
      </w:r>
      <w:r w:rsidR="266B5D6B">
        <w:t>,</w:t>
      </w:r>
      <w:r w:rsidR="0027171B">
        <w:t xml:space="preserve"> as religious discrimination</w:t>
      </w:r>
      <w:r w:rsidR="4DA8A3E5">
        <w:t>,</w:t>
      </w:r>
      <w:r w:rsidR="009865A6">
        <w:t xml:space="preserve"> </w:t>
      </w:r>
      <w:r w:rsidR="009549D1">
        <w:t xml:space="preserve">government programs or </w:t>
      </w:r>
      <w:r w:rsidR="009865A6">
        <w:t>decisions</w:t>
      </w:r>
      <w:r w:rsidR="00BA5ED3">
        <w:t xml:space="preserve"> made under </w:t>
      </w:r>
      <w:r w:rsidR="0027171B">
        <w:t xml:space="preserve">NSW </w:t>
      </w:r>
      <w:r w:rsidR="00BA5ED3">
        <w:t xml:space="preserve">laws, </w:t>
      </w:r>
      <w:r w:rsidR="009865A6">
        <w:t>such as the COVID-19 public health orders limiting public gatherings.</w:t>
      </w:r>
      <w:r w:rsidR="009549D1">
        <w:t xml:space="preserve">  No other group protected under the ADA </w:t>
      </w:r>
      <w:r w:rsidR="00803F59">
        <w:t>has</w:t>
      </w:r>
      <w:r w:rsidR="009549D1">
        <w:t xml:space="preserve"> this </w:t>
      </w:r>
      <w:r w:rsidR="006959D8">
        <w:t>right</w:t>
      </w:r>
      <w:r w:rsidR="00803F59">
        <w:t>,</w:t>
      </w:r>
      <w:r w:rsidR="00803F59">
        <w:rPr>
          <w:rStyle w:val="FootnoteReference"/>
        </w:rPr>
        <w:footnoteReference w:id="3"/>
      </w:r>
      <w:r w:rsidR="006959D8">
        <w:t xml:space="preserve"> and no Australian anti-discrimination law provides </w:t>
      </w:r>
      <w:r w:rsidR="00D34D52">
        <w:t xml:space="preserve">such a </w:t>
      </w:r>
      <w:r w:rsidR="006959D8">
        <w:t>right to legal entities.</w:t>
      </w:r>
    </w:p>
    <w:p w14:paraId="52ECF634" w14:textId="469707F7" w:rsidR="00D66DA9" w:rsidRDefault="00D66DA9" w:rsidP="00D66DA9">
      <w:r>
        <w:lastRenderedPageBreak/>
        <w:t>The ADA is an old</w:t>
      </w:r>
      <w:r w:rsidR="00745D72">
        <w:t xml:space="preserve"> </w:t>
      </w:r>
      <w:r>
        <w:t>law</w:t>
      </w:r>
      <w:r w:rsidR="00745D72">
        <w:t xml:space="preserve"> which merits comprehensive review</w:t>
      </w:r>
      <w:r w:rsidR="004863C8">
        <w:t xml:space="preserve">, including </w:t>
      </w:r>
      <w:r w:rsidR="00691A69">
        <w:t>looking at the extension of</w:t>
      </w:r>
      <w:r w:rsidR="00A31AD2">
        <w:t xml:space="preserve"> ethno-religious discrimination and vilification </w:t>
      </w:r>
      <w:r w:rsidR="00691A69">
        <w:t>protections to all people of faith</w:t>
      </w:r>
      <w:r w:rsidR="00C4214D">
        <w:t xml:space="preserve">.  </w:t>
      </w:r>
      <w:r w:rsidR="004863C8">
        <w:t>But t</w:t>
      </w:r>
      <w:r w:rsidR="00C4214D">
        <w:t xml:space="preserve">his Bill does not solve </w:t>
      </w:r>
      <w:r w:rsidR="0083038A">
        <w:t xml:space="preserve">this problem.  It leaves the </w:t>
      </w:r>
      <w:r w:rsidR="008D3176">
        <w:t xml:space="preserve">existing </w:t>
      </w:r>
      <w:r w:rsidR="0083038A">
        <w:t xml:space="preserve">ethno-religious protections </w:t>
      </w:r>
      <w:r w:rsidR="00716186">
        <w:t>exactly as they are</w:t>
      </w:r>
      <w:r w:rsidR="0083038A">
        <w:t xml:space="preserve">, meaning </w:t>
      </w:r>
      <w:r w:rsidR="00E3474D">
        <w:t xml:space="preserve">all religions </w:t>
      </w:r>
      <w:r w:rsidR="00FF3E13">
        <w:t xml:space="preserve">(and people with no religion) </w:t>
      </w:r>
      <w:r w:rsidR="00E3474D">
        <w:t>are not protected in the same way</w:t>
      </w:r>
      <w:r w:rsidR="00C422BD">
        <w:t>, or even equally</w:t>
      </w:r>
      <w:r w:rsidR="00E3474D">
        <w:t>.</w:t>
      </w:r>
      <w:r w:rsidR="00716186">
        <w:t xml:space="preserve">  </w:t>
      </w:r>
      <w:r w:rsidR="00F4773E">
        <w:t xml:space="preserve">This Bill also </w:t>
      </w:r>
      <w:r w:rsidR="00C74F61">
        <w:t>makes</w:t>
      </w:r>
      <w:r w:rsidR="00F4773E">
        <w:t xml:space="preserve"> subtle yet </w:t>
      </w:r>
      <w:r w:rsidR="00C74F61">
        <w:t xml:space="preserve">alarming in-roads towards banning certain forms of religious </w:t>
      </w:r>
      <w:r w:rsidR="003C5A97">
        <w:t>dress in the workplace</w:t>
      </w:r>
      <w:r w:rsidR="00C74F61">
        <w:t>.</w:t>
      </w:r>
    </w:p>
    <w:p w14:paraId="7670844F" w14:textId="07D925B5" w:rsidR="00E81015" w:rsidRDefault="00F46881" w:rsidP="00D66DA9">
      <w:r>
        <w:t xml:space="preserve">As the Commonwealth Government has discovered, reform in this area is difficult.  Religious beliefs are diverse, </w:t>
      </w:r>
      <w:r w:rsidR="00BE0CCB">
        <w:t xml:space="preserve">deeply personal, </w:t>
      </w:r>
      <w:r>
        <w:t xml:space="preserve">difficult to define, </w:t>
      </w:r>
      <w:r w:rsidR="000F54BC">
        <w:t xml:space="preserve">difficult to prove or disprove, </w:t>
      </w:r>
      <w:r>
        <w:t xml:space="preserve">and </w:t>
      </w:r>
      <w:r w:rsidR="00E83FCC">
        <w:t>sometimes conflict with the beliefs of others who hold different or no belief</w:t>
      </w:r>
      <w:r w:rsidR="00B128F9">
        <w:t>s</w:t>
      </w:r>
      <w:r w:rsidR="00E83FCC">
        <w:t>.</w:t>
      </w:r>
      <w:r w:rsidR="000C72C0">
        <w:t xml:space="preserve">  Any reform in this area must bring the community together, </w:t>
      </w:r>
      <w:r w:rsidR="00245A2E">
        <w:t>not divide it.</w:t>
      </w:r>
      <w:r w:rsidR="00BE0CCB">
        <w:t xml:space="preserve">  </w:t>
      </w:r>
    </w:p>
    <w:p w14:paraId="307AD677" w14:textId="516AF905" w:rsidR="00502F37" w:rsidRDefault="00A305A6" w:rsidP="00A305A6">
      <w:pPr>
        <w:pStyle w:val="Intro"/>
      </w:pPr>
      <w:r>
        <w:t xml:space="preserve">No laws should privilege one group over another.  Our laws should </w:t>
      </w:r>
      <w:r w:rsidR="00860224">
        <w:t>protect</w:t>
      </w:r>
      <w:r>
        <w:t xml:space="preserve"> all of us, equally.</w:t>
      </w:r>
      <w:r w:rsidR="00860224">
        <w:t xml:space="preserve">  </w:t>
      </w:r>
      <w:r w:rsidR="002815F9">
        <w:t>Because t</w:t>
      </w:r>
      <w:r w:rsidR="00860224">
        <w:t xml:space="preserve">his Bill </w:t>
      </w:r>
      <w:r w:rsidR="002815F9">
        <w:t>fails to meet those principles, we oppose it.</w:t>
      </w:r>
    </w:p>
    <w:p w14:paraId="5FA98551" w14:textId="4F920359" w:rsidR="00FD4D5E" w:rsidRDefault="00232618" w:rsidP="00232618">
      <w:pPr>
        <w:pStyle w:val="Heading3"/>
      </w:pPr>
      <w:r>
        <w:t>List of recommendations</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FD4D5E" w14:paraId="35D4D394" w14:textId="77777777" w:rsidTr="00D34D52">
        <w:tc>
          <w:tcPr>
            <w:tcW w:w="8871" w:type="dxa"/>
            <w:tcMar>
              <w:bottom w:w="142" w:type="dxa"/>
            </w:tcMar>
          </w:tcPr>
          <w:p w14:paraId="056C6E43" w14:textId="0A6E602F" w:rsidR="00FD4D5E" w:rsidRDefault="00FD4D5E" w:rsidP="00D34D52">
            <w:pPr>
              <w:pStyle w:val="Heading3"/>
              <w:outlineLvl w:val="2"/>
            </w:pPr>
            <w:r>
              <w:t>Recommendation</w:t>
            </w:r>
          </w:p>
          <w:p w14:paraId="2BCEC128" w14:textId="35908843" w:rsidR="00FD4D5E" w:rsidRDefault="00FD4D5E" w:rsidP="009A5378">
            <w:pPr>
              <w:pStyle w:val="Intro"/>
              <w:rPr>
                <w:rStyle w:val="PageNumber"/>
              </w:rPr>
            </w:pPr>
            <w:r>
              <w:t>The Bill not be passed.</w:t>
            </w:r>
          </w:p>
        </w:tc>
      </w:tr>
    </w:tbl>
    <w:p w14:paraId="61DB4AA2" w14:textId="77777777" w:rsidR="004E688E" w:rsidRDefault="004E688E" w:rsidP="00232618">
      <w:pPr>
        <w:pStyle w:val="NoSpacing"/>
      </w:pP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232618" w14:paraId="4F9CABEF" w14:textId="77777777" w:rsidTr="00D34D52">
        <w:tc>
          <w:tcPr>
            <w:tcW w:w="8871" w:type="dxa"/>
            <w:tcMar>
              <w:bottom w:w="142" w:type="dxa"/>
            </w:tcMar>
          </w:tcPr>
          <w:p w14:paraId="59AF25FB" w14:textId="4646ED5B" w:rsidR="00232618" w:rsidRDefault="00232618" w:rsidP="00D34D52">
            <w:pPr>
              <w:pStyle w:val="Heading3"/>
              <w:outlineLvl w:val="2"/>
            </w:pPr>
            <w:r>
              <w:t>Alternative recommendations</w:t>
            </w:r>
          </w:p>
          <w:p w14:paraId="47AB3A18" w14:textId="020F18AB" w:rsidR="00232618" w:rsidRDefault="009A5378" w:rsidP="00D34D52">
            <w:pPr>
              <w:rPr>
                <w:rStyle w:val="PageNumber"/>
              </w:rPr>
            </w:pPr>
            <w:r>
              <w:rPr>
                <w:rStyle w:val="PageNumber"/>
              </w:rPr>
              <w:t xml:space="preserve">If our </w:t>
            </w:r>
            <w:r w:rsidR="002B21E9">
              <w:rPr>
                <w:rStyle w:val="PageNumber"/>
              </w:rPr>
              <w:t xml:space="preserve">principal </w:t>
            </w:r>
            <w:r>
              <w:rPr>
                <w:rStyle w:val="PageNumber"/>
              </w:rPr>
              <w:t xml:space="preserve">recommendation that the Bill not be passed is not </w:t>
            </w:r>
            <w:r w:rsidR="002B21E9">
              <w:rPr>
                <w:rStyle w:val="PageNumber"/>
              </w:rPr>
              <w:t>accepted by the Committee</w:t>
            </w:r>
            <w:r>
              <w:rPr>
                <w:rStyle w:val="PageNumber"/>
              </w:rPr>
              <w:t xml:space="preserve">, </w:t>
            </w:r>
            <w:r w:rsidR="00FE2DD3">
              <w:rPr>
                <w:rStyle w:val="PageNumber"/>
              </w:rPr>
              <w:t>we recommend the following changes:</w:t>
            </w:r>
          </w:p>
          <w:p w14:paraId="0A8D5B42" w14:textId="0E9C1058" w:rsidR="00FE2DD3" w:rsidRDefault="00A12D9E" w:rsidP="00F511B8">
            <w:pPr>
              <w:pStyle w:val="ListParagraph"/>
              <w:numPr>
                <w:ilvl w:val="0"/>
                <w:numId w:val="20"/>
              </w:numPr>
              <w:ind w:left="714" w:hanging="357"/>
              <w:contextualSpacing w:val="0"/>
            </w:pPr>
            <w:r>
              <w:t>P</w:t>
            </w:r>
            <w:r w:rsidR="00F93DFE">
              <w:t>roposed subsections 22</w:t>
            </w:r>
            <w:proofErr w:type="gramStart"/>
            <w:r w:rsidR="00F93DFE">
              <w:t>N(</w:t>
            </w:r>
            <w:proofErr w:type="gramEnd"/>
            <w:r w:rsidR="00F93DFE">
              <w:t>3)-(5), 22S(2)-(4) and 22V(3)-(5) should be removed.</w:t>
            </w:r>
          </w:p>
          <w:p w14:paraId="142BC821" w14:textId="6AE64139" w:rsidR="00A12D9E" w:rsidRDefault="00A12D9E" w:rsidP="00F511B8">
            <w:pPr>
              <w:pStyle w:val="ListParagraph"/>
              <w:numPr>
                <w:ilvl w:val="0"/>
                <w:numId w:val="20"/>
              </w:numPr>
              <w:ind w:left="714" w:hanging="357"/>
              <w:contextualSpacing w:val="0"/>
            </w:pPr>
            <w:r>
              <w:t>Proposed section 22M should be removed.</w:t>
            </w:r>
          </w:p>
          <w:p w14:paraId="1A1CA83C" w14:textId="77777777" w:rsidR="00CD7425" w:rsidRDefault="00A12D9E" w:rsidP="00F511B8">
            <w:pPr>
              <w:pStyle w:val="ListParagraph"/>
              <w:numPr>
                <w:ilvl w:val="0"/>
                <w:numId w:val="20"/>
              </w:numPr>
              <w:ind w:left="714" w:hanging="357"/>
              <w:contextualSpacing w:val="0"/>
            </w:pPr>
            <w:r>
              <w:t xml:space="preserve">Proposed </w:t>
            </w:r>
            <w:r w:rsidR="00CD7425">
              <w:t>sub</w:t>
            </w:r>
            <w:r>
              <w:t>sections 22</w:t>
            </w:r>
            <w:proofErr w:type="gramStart"/>
            <w:r>
              <w:t>N(</w:t>
            </w:r>
            <w:proofErr w:type="gramEnd"/>
            <w:r>
              <w:t>9), 22S(5) and 22V(6) should be removed.</w:t>
            </w:r>
          </w:p>
          <w:p w14:paraId="1AC2CD99" w14:textId="77777777" w:rsidR="00CD7425" w:rsidRDefault="00CD7425" w:rsidP="00F511B8">
            <w:pPr>
              <w:pStyle w:val="ListParagraph"/>
              <w:numPr>
                <w:ilvl w:val="0"/>
                <w:numId w:val="20"/>
              </w:numPr>
              <w:ind w:left="714" w:hanging="357"/>
              <w:contextualSpacing w:val="0"/>
            </w:pPr>
            <w:r>
              <w:t>Proposed subsection 22</w:t>
            </w:r>
            <w:proofErr w:type="gramStart"/>
            <w:r>
              <w:t>Z(</w:t>
            </w:r>
            <w:proofErr w:type="gramEnd"/>
            <w:r>
              <w:t xml:space="preserve">2) should be removed.  </w:t>
            </w:r>
          </w:p>
          <w:p w14:paraId="2C0B557D" w14:textId="08074A87" w:rsidR="00CD7425" w:rsidRDefault="00CD7425" w:rsidP="00F511B8">
            <w:pPr>
              <w:pStyle w:val="ListParagraph"/>
              <w:numPr>
                <w:ilvl w:val="0"/>
                <w:numId w:val="20"/>
              </w:numPr>
              <w:ind w:left="714" w:hanging="357"/>
              <w:contextualSpacing w:val="0"/>
            </w:pPr>
            <w:r>
              <w:rPr>
                <w:rStyle w:val="PageNumber"/>
              </w:rPr>
              <w:t>Only natural persons should be protected under discrimination protections.</w:t>
            </w:r>
          </w:p>
          <w:p w14:paraId="3231D3BC" w14:textId="77777777" w:rsidR="00CD7425" w:rsidRDefault="001E686F" w:rsidP="00F511B8">
            <w:pPr>
              <w:pStyle w:val="ListParagraph"/>
              <w:numPr>
                <w:ilvl w:val="0"/>
                <w:numId w:val="20"/>
              </w:numPr>
              <w:ind w:left="714" w:hanging="357"/>
              <w:contextualSpacing w:val="0"/>
            </w:pPr>
            <w:r>
              <w:t>If subsections 22</w:t>
            </w:r>
            <w:proofErr w:type="gramStart"/>
            <w:r>
              <w:t>Z(</w:t>
            </w:r>
            <w:proofErr w:type="gramEnd"/>
            <w:r>
              <w:t>1) and (3) are to be introduced, they should apply to all protected grounds under the ADA.</w:t>
            </w:r>
          </w:p>
          <w:p w14:paraId="55FC3974" w14:textId="77777777" w:rsidR="00EE3E5B" w:rsidRDefault="00EE3E5B" w:rsidP="00F511B8">
            <w:pPr>
              <w:pStyle w:val="ListParagraph"/>
              <w:numPr>
                <w:ilvl w:val="0"/>
                <w:numId w:val="20"/>
              </w:numPr>
              <w:ind w:left="714" w:hanging="357"/>
              <w:contextualSpacing w:val="0"/>
              <w:rPr>
                <w:rStyle w:val="PageNumber"/>
              </w:rPr>
            </w:pPr>
            <w:r>
              <w:rPr>
                <w:rStyle w:val="PageNumber"/>
              </w:rPr>
              <w:t>Section 3 should be removed.</w:t>
            </w:r>
          </w:p>
          <w:p w14:paraId="342C433E" w14:textId="77777777" w:rsidR="0049436B" w:rsidRPr="0049436B" w:rsidRDefault="0049436B" w:rsidP="00F511B8">
            <w:pPr>
              <w:pStyle w:val="ListParagraph"/>
              <w:numPr>
                <w:ilvl w:val="0"/>
                <w:numId w:val="20"/>
              </w:numPr>
              <w:ind w:left="714" w:hanging="357"/>
              <w:contextualSpacing w:val="0"/>
              <w:rPr>
                <w:rStyle w:val="PageNumber"/>
              </w:rPr>
            </w:pPr>
            <w:r w:rsidRPr="0049436B">
              <w:rPr>
                <w:rStyle w:val="PageNumber"/>
              </w:rPr>
              <w:t>‘Religious activity’ should be defined to mean ‘engaging in, not engaging in or refusing to engage in a lawful religious activity’.</w:t>
            </w:r>
          </w:p>
          <w:p w14:paraId="1D69FCF4" w14:textId="308848CD" w:rsidR="0049436B" w:rsidRDefault="0049436B" w:rsidP="00F511B8">
            <w:pPr>
              <w:pStyle w:val="ListParagraph"/>
              <w:numPr>
                <w:ilvl w:val="0"/>
                <w:numId w:val="20"/>
              </w:numPr>
              <w:ind w:left="714" w:hanging="357"/>
              <w:contextualSpacing w:val="0"/>
              <w:rPr>
                <w:rStyle w:val="PageNumber"/>
              </w:rPr>
            </w:pPr>
            <w:r w:rsidRPr="0049436B">
              <w:rPr>
                <w:rStyle w:val="PageNumber"/>
              </w:rPr>
              <w:t xml:space="preserve">Ensure no discrimination protections are </w:t>
            </w:r>
            <w:r w:rsidR="002535AA">
              <w:rPr>
                <w:rStyle w:val="PageNumber"/>
              </w:rPr>
              <w:t xml:space="preserve">extended </w:t>
            </w:r>
            <w:r w:rsidRPr="0049436B">
              <w:rPr>
                <w:rStyle w:val="PageNumber"/>
              </w:rPr>
              <w:t xml:space="preserve">to conduct which is contrary to </w:t>
            </w:r>
            <w:r w:rsidR="002535AA">
              <w:rPr>
                <w:rStyle w:val="PageNumber"/>
              </w:rPr>
              <w:t xml:space="preserve">the law or the limitation in article 18(3) of the International Civil and Political Rights on </w:t>
            </w:r>
            <w:r w:rsidRPr="0049436B">
              <w:rPr>
                <w:rStyle w:val="PageNumber"/>
              </w:rPr>
              <w:t xml:space="preserve">public safety, order, health, or morals or the fundamental rights and freedoms of others.  </w:t>
            </w:r>
          </w:p>
          <w:p w14:paraId="07E3EAA3" w14:textId="77777777" w:rsidR="009B13BD" w:rsidRPr="006A6A03" w:rsidRDefault="009B13BD" w:rsidP="00F511B8">
            <w:pPr>
              <w:pStyle w:val="ListParagraph"/>
              <w:numPr>
                <w:ilvl w:val="0"/>
                <w:numId w:val="20"/>
              </w:numPr>
              <w:ind w:left="714" w:hanging="357"/>
              <w:contextualSpacing w:val="0"/>
              <w:rPr>
                <w:rStyle w:val="PageNumber"/>
              </w:rPr>
            </w:pPr>
            <w:r>
              <w:rPr>
                <w:rStyle w:val="PageNumber"/>
                <w:bCs/>
              </w:rPr>
              <w:t>Review and reform the vilification protections in the ADA so that they can be extended properly to all grounds covered by the ADA.</w:t>
            </w:r>
          </w:p>
          <w:p w14:paraId="26AD31C0" w14:textId="77777777" w:rsidR="006A6A03" w:rsidRPr="0003601A" w:rsidRDefault="006A6A03" w:rsidP="00F511B8">
            <w:pPr>
              <w:pStyle w:val="ListParagraph"/>
              <w:numPr>
                <w:ilvl w:val="0"/>
                <w:numId w:val="20"/>
              </w:numPr>
              <w:ind w:left="714" w:hanging="357"/>
              <w:contextualSpacing w:val="0"/>
              <w:rPr>
                <w:rStyle w:val="PageNumber"/>
              </w:rPr>
            </w:pPr>
            <w:r>
              <w:rPr>
                <w:rStyle w:val="PageNumber"/>
                <w:bCs/>
              </w:rPr>
              <w:t>Subsection 22</w:t>
            </w:r>
            <w:proofErr w:type="gramStart"/>
            <w:r>
              <w:rPr>
                <w:rStyle w:val="PageNumber"/>
                <w:bCs/>
              </w:rPr>
              <w:t>N(</w:t>
            </w:r>
            <w:proofErr w:type="gramEnd"/>
            <w:r>
              <w:rPr>
                <w:rStyle w:val="PageNumber"/>
                <w:bCs/>
              </w:rPr>
              <w:t>6) should be removed.</w:t>
            </w:r>
          </w:p>
          <w:p w14:paraId="2F50F390" w14:textId="5D5A4E77" w:rsidR="0003601A" w:rsidRDefault="0003601A" w:rsidP="00F511B8">
            <w:pPr>
              <w:pStyle w:val="ListParagraph"/>
              <w:numPr>
                <w:ilvl w:val="0"/>
                <w:numId w:val="20"/>
              </w:numPr>
              <w:ind w:left="714" w:hanging="357"/>
              <w:contextualSpacing w:val="0"/>
              <w:rPr>
                <w:rStyle w:val="PageNumber"/>
              </w:rPr>
            </w:pPr>
            <w:r>
              <w:t>Remove the amendment to section 126 from the Bill.</w:t>
            </w:r>
          </w:p>
        </w:tc>
      </w:tr>
    </w:tbl>
    <w:p w14:paraId="04571A97" w14:textId="77777777" w:rsidR="00BB2BBB" w:rsidRDefault="00BB2BBB" w:rsidP="00BB2BBB"/>
    <w:p w14:paraId="3B1D0B8D" w14:textId="76D08D15" w:rsidR="00CB0244" w:rsidRDefault="00157887" w:rsidP="00F511B8">
      <w:pPr>
        <w:pStyle w:val="Section"/>
      </w:pPr>
      <w:r>
        <w:br w:type="page"/>
      </w:r>
      <w:bookmarkStart w:id="1" w:name="_Toc48921244"/>
      <w:r w:rsidR="00CB0244">
        <w:lastRenderedPageBreak/>
        <w:t>Key issues with the Bill</w:t>
      </w:r>
      <w:bookmarkEnd w:id="1"/>
    </w:p>
    <w:p w14:paraId="1EC80B5C" w14:textId="60FDE987" w:rsidR="004F1256" w:rsidRDefault="002535AA" w:rsidP="004036AE">
      <w:pPr>
        <w:pStyle w:val="Intro"/>
        <w:rPr>
          <w:rStyle w:val="PageNumber"/>
        </w:rPr>
      </w:pPr>
      <w:r>
        <w:t xml:space="preserve">As we set out below, this </w:t>
      </w:r>
      <w:r w:rsidR="00825483">
        <w:t xml:space="preserve">Bill </w:t>
      </w:r>
      <w:r w:rsidR="00AC2A69">
        <w:rPr>
          <w:rStyle w:val="PageNumber"/>
        </w:rPr>
        <w:t xml:space="preserve">fails to protect all of us, equally.  It </w:t>
      </w:r>
      <w:r w:rsidR="004036AE">
        <w:rPr>
          <w:rStyle w:val="PageNumber"/>
        </w:rPr>
        <w:t>privileges the interests of some people and institutions over the rights of others, including LGBTIQ+ people, women, people with disabilities and even people with different or no beliefs.</w:t>
      </w:r>
      <w:r w:rsidR="00825483">
        <w:rPr>
          <w:rStyle w:val="PageNumber"/>
        </w:rPr>
        <w:t xml:space="preserve">  </w:t>
      </w:r>
    </w:p>
    <w:p w14:paraId="6E15B923" w14:textId="07F4C546" w:rsidR="00825483" w:rsidRDefault="00AC2A69" w:rsidP="004F1256">
      <w:pPr>
        <w:rPr>
          <w:rStyle w:val="PageNumber"/>
        </w:rPr>
      </w:pPr>
      <w:r>
        <w:rPr>
          <w:rStyle w:val="PageNumber"/>
        </w:rPr>
        <w:t>Given our view on the Bill, o</w:t>
      </w:r>
      <w:r w:rsidR="004F1256">
        <w:rPr>
          <w:rStyle w:val="PageNumber"/>
        </w:rPr>
        <w:t xml:space="preserve">ur principal position is that this Bill </w:t>
      </w:r>
      <w:r w:rsidR="00F91A83">
        <w:rPr>
          <w:rStyle w:val="PageNumber"/>
        </w:rPr>
        <w:t>cannot be supported by this Committee</w:t>
      </w:r>
      <w:r w:rsidR="004F1256">
        <w:rPr>
          <w:rStyle w:val="PageNumber"/>
        </w:rPr>
        <w:t xml:space="preserve">.  </w:t>
      </w:r>
      <w:r>
        <w:rPr>
          <w:rStyle w:val="PageNumber"/>
        </w:rPr>
        <w:t xml:space="preserve">It </w:t>
      </w:r>
      <w:r w:rsidR="004F1256">
        <w:rPr>
          <w:rStyle w:val="PageNumber"/>
        </w:rPr>
        <w:t xml:space="preserve">has many technical problems which make </w:t>
      </w:r>
      <w:r w:rsidR="00F91A83">
        <w:rPr>
          <w:rStyle w:val="PageNumber"/>
        </w:rPr>
        <w:t>it an inferior law</w:t>
      </w:r>
      <w:r w:rsidR="004953E7">
        <w:rPr>
          <w:rStyle w:val="PageNumber"/>
        </w:rPr>
        <w:t xml:space="preserve"> for protecting both people of faith and those of no </w:t>
      </w:r>
      <w:proofErr w:type="gramStart"/>
      <w:r w:rsidR="004953E7">
        <w:rPr>
          <w:rStyle w:val="PageNumber"/>
        </w:rPr>
        <w:t>faith,</w:t>
      </w:r>
      <w:r w:rsidR="00CE7841">
        <w:rPr>
          <w:rStyle w:val="PageNumber"/>
        </w:rPr>
        <w:t xml:space="preserve"> and</w:t>
      </w:r>
      <w:proofErr w:type="gramEnd"/>
      <w:r w:rsidR="00CE7841">
        <w:rPr>
          <w:rStyle w:val="PageNumber"/>
        </w:rPr>
        <w:t xml:space="preserve"> would only serve to add to the existing deficiencies </w:t>
      </w:r>
      <w:r w:rsidR="00166843">
        <w:rPr>
          <w:rStyle w:val="PageNumber"/>
        </w:rPr>
        <w:t>of</w:t>
      </w:r>
      <w:r w:rsidR="00CE7841">
        <w:rPr>
          <w:rStyle w:val="PageNumber"/>
        </w:rPr>
        <w:t xml:space="preserve"> the ADA</w:t>
      </w:r>
      <w:r w:rsidR="00F91A83">
        <w:rPr>
          <w:rStyle w:val="PageNumber"/>
        </w:rPr>
        <w:t xml:space="preserve">. </w:t>
      </w:r>
      <w:r w:rsidR="00174C7B">
        <w:rPr>
          <w:rStyle w:val="PageNumber"/>
        </w:rPr>
        <w:t xml:space="preserve"> Accordingly, our </w:t>
      </w:r>
      <w:r w:rsidR="00D72C47">
        <w:rPr>
          <w:rStyle w:val="PageNumber"/>
        </w:rPr>
        <w:t>principal</w:t>
      </w:r>
      <w:r w:rsidR="00174C7B">
        <w:rPr>
          <w:rStyle w:val="PageNumber"/>
        </w:rPr>
        <w:t xml:space="preserve"> </w:t>
      </w:r>
      <w:r w:rsidR="00CE7841">
        <w:rPr>
          <w:rStyle w:val="PageNumber"/>
        </w:rPr>
        <w:t xml:space="preserve">recommendation is that this Bill </w:t>
      </w:r>
      <w:r w:rsidR="00A56A93">
        <w:rPr>
          <w:rStyle w:val="PageNumber"/>
        </w:rPr>
        <w:t>not be passed</w:t>
      </w:r>
      <w:r w:rsidR="00166843">
        <w:rPr>
          <w:rStyle w:val="PageNumber"/>
        </w:rPr>
        <w:t>.  Our preference is that a</w:t>
      </w:r>
      <w:r w:rsidR="000A00F0">
        <w:rPr>
          <w:rStyle w:val="PageNumber"/>
        </w:rPr>
        <w:t xml:space="preserve">ny religious discrimination reform </w:t>
      </w:r>
      <w:r w:rsidR="001E299B">
        <w:rPr>
          <w:rStyle w:val="PageNumber"/>
        </w:rPr>
        <w:t xml:space="preserve">be considered as part of a comprehensive review of the ADA.  We provide further reasons for this </w:t>
      </w:r>
      <w:r w:rsidR="007076D8">
        <w:rPr>
          <w:rStyle w:val="PageNumber"/>
        </w:rPr>
        <w:t>view in the following section</w:t>
      </w:r>
      <w:r w:rsidR="00352E3C">
        <w:rPr>
          <w:rStyle w:val="PageNumber"/>
        </w:rPr>
        <w:t xml:space="preserve">, </w:t>
      </w:r>
      <w:r w:rsidR="00FE456E" w:rsidRPr="00FE456E">
        <w:rPr>
          <w:rStyle w:val="PageNumber"/>
          <w:i/>
          <w:iCs/>
        </w:rPr>
        <w:t>Reviewing the ADA</w:t>
      </w:r>
      <w:r w:rsidR="007076D8">
        <w:rPr>
          <w:rStyle w:val="PageNumber"/>
        </w:rPr>
        <w:t>.</w:t>
      </w:r>
    </w:p>
    <w:p w14:paraId="106E241D" w14:textId="471FC261" w:rsidR="000A5119" w:rsidRDefault="00855057" w:rsidP="007A23A1">
      <w:r>
        <w:t>I</w:t>
      </w:r>
      <w:r w:rsidR="007A23A1">
        <w:t xml:space="preserve">f the Committee were minded </w:t>
      </w:r>
      <w:proofErr w:type="gramStart"/>
      <w:r w:rsidR="007A23A1">
        <w:t>to support</w:t>
      </w:r>
      <w:proofErr w:type="gramEnd"/>
      <w:r w:rsidR="007A23A1">
        <w:t xml:space="preserve"> this Bill</w:t>
      </w:r>
      <w:r>
        <w:t xml:space="preserve"> </w:t>
      </w:r>
      <w:r w:rsidR="007A23A1">
        <w:t>in some form, we have set out alternative recommendations seeking to improve the Bill to the extent possible within the existing framework of the ADA.  These alternative recommendations would not address our broader and more fundamental concerns regarding the current deficiencies of the ADA.</w:t>
      </w:r>
      <w:r w:rsidR="00CA3BE2">
        <w:t xml:space="preserve">  </w:t>
      </w:r>
      <w:r>
        <w:t xml:space="preserve">However, </w:t>
      </w:r>
      <w:r w:rsidR="000A5119">
        <w:t>b</w:t>
      </w:r>
      <w:r w:rsidR="00CA3BE2">
        <w:t xml:space="preserve">ecause the Committee </w:t>
      </w:r>
      <w:r w:rsidR="00663B6F">
        <w:t xml:space="preserve">has called only for submissions that address </w:t>
      </w:r>
      <w:r w:rsidR="00CC606D">
        <w:t>this</w:t>
      </w:r>
      <w:r w:rsidR="00663B6F">
        <w:t xml:space="preserve"> Bill, and not other parts of the ADA,</w:t>
      </w:r>
      <w:r w:rsidR="00CC606D">
        <w:rPr>
          <w:rStyle w:val="FootnoteReference"/>
        </w:rPr>
        <w:footnoteReference w:id="4"/>
      </w:r>
      <w:r w:rsidR="00663B6F">
        <w:t xml:space="preserve"> we have not set out those concerns in detail</w:t>
      </w:r>
      <w:r w:rsidR="00D86601">
        <w:t xml:space="preserve"> in this submission</w:t>
      </w:r>
      <w:r w:rsidR="00663B6F">
        <w:t xml:space="preserve">. </w:t>
      </w:r>
      <w:r w:rsidR="00D86601">
        <w:t xml:space="preserve"> We would be happy to provide the Committee </w:t>
      </w:r>
      <w:r>
        <w:t>with further information upon request.</w:t>
      </w:r>
      <w:r w:rsidR="000A5119">
        <w:t xml:space="preserve">  </w:t>
      </w:r>
    </w:p>
    <w:p w14:paraId="47D1B135" w14:textId="62451CC9" w:rsidR="007A23A1" w:rsidRDefault="000A5119" w:rsidP="007A23A1">
      <w:r>
        <w:t>This section otherwise sets out our key issues with the Bill.</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3A0FB6" w14:paraId="1A4541BA" w14:textId="77777777" w:rsidTr="00D34D52">
        <w:tc>
          <w:tcPr>
            <w:tcW w:w="8871" w:type="dxa"/>
            <w:tcMar>
              <w:bottom w:w="142" w:type="dxa"/>
            </w:tcMar>
          </w:tcPr>
          <w:p w14:paraId="563F3E8A" w14:textId="77777777" w:rsidR="003A0FB6" w:rsidRDefault="003A0FB6" w:rsidP="00D34D52">
            <w:pPr>
              <w:pStyle w:val="Heading3"/>
              <w:outlineLvl w:val="2"/>
            </w:pPr>
            <w:r>
              <w:t>Recommendation</w:t>
            </w:r>
          </w:p>
          <w:p w14:paraId="534F0A26" w14:textId="77777777" w:rsidR="003A0FB6" w:rsidRDefault="003A0FB6" w:rsidP="00D34D52">
            <w:pPr>
              <w:pStyle w:val="Intro"/>
              <w:rPr>
                <w:rStyle w:val="PageNumber"/>
              </w:rPr>
            </w:pPr>
            <w:r>
              <w:t>The Bill not be passed.</w:t>
            </w:r>
          </w:p>
        </w:tc>
      </w:tr>
    </w:tbl>
    <w:p w14:paraId="76C6B689" w14:textId="7C4113AD" w:rsidR="00C75F3D" w:rsidRDefault="00607AE7" w:rsidP="00CA34DF">
      <w:pPr>
        <w:pStyle w:val="Heading1"/>
      </w:pPr>
      <w:bookmarkStart w:id="2" w:name="_Toc48921245"/>
      <w:r>
        <w:t>No consequences for conduct</w:t>
      </w:r>
      <w:bookmarkEnd w:id="2"/>
    </w:p>
    <w:p w14:paraId="259085EB" w14:textId="47EAF5AE" w:rsidR="004A2927" w:rsidRDefault="004A2927" w:rsidP="004A2927">
      <w:pPr>
        <w:pStyle w:val="Intro"/>
      </w:pPr>
      <w:r>
        <w:t xml:space="preserve">This Bill allows people </w:t>
      </w:r>
      <w:r w:rsidR="00344763">
        <w:t>to</w:t>
      </w:r>
      <w:r w:rsidR="00EA37ED">
        <w:t xml:space="preserve"> hide behind religion to</w:t>
      </w:r>
      <w:r w:rsidR="00344763">
        <w:t xml:space="preserve"> harm others</w:t>
      </w:r>
      <w:r w:rsidR="00137D3C">
        <w:t>,</w:t>
      </w:r>
      <w:r w:rsidR="00344763">
        <w:t xml:space="preserve"> and employers, </w:t>
      </w:r>
      <w:r w:rsidR="00EA37ED">
        <w:t>educators</w:t>
      </w:r>
      <w:r w:rsidR="00660FDC">
        <w:t xml:space="preserve"> and bodies conferring </w:t>
      </w:r>
      <w:r w:rsidR="000D2A8E">
        <w:t xml:space="preserve">occupational and professional </w:t>
      </w:r>
      <w:r w:rsidR="00660FDC">
        <w:t>licences and qualifications will be powerless to stop it.</w:t>
      </w:r>
      <w:r w:rsidR="000D2A8E">
        <w:t xml:space="preserve">  Whether it’s a doctor promoting conversion </w:t>
      </w:r>
      <w:r w:rsidR="00F50E4B">
        <w:t>‘</w:t>
      </w:r>
      <w:r w:rsidR="000D2A8E">
        <w:t>therapy</w:t>
      </w:r>
      <w:r w:rsidR="00F50E4B">
        <w:t xml:space="preserve">’ through a </w:t>
      </w:r>
      <w:r w:rsidR="009D5183">
        <w:t xml:space="preserve">church </w:t>
      </w:r>
      <w:r w:rsidR="00F50E4B">
        <w:t>youth group</w:t>
      </w:r>
      <w:r w:rsidR="00AB23FE">
        <w:t xml:space="preserve"> or </w:t>
      </w:r>
      <w:r w:rsidR="00F50E4B">
        <w:t xml:space="preserve">a teacher posting </w:t>
      </w:r>
      <w:r w:rsidR="009D5183">
        <w:t>slurs</w:t>
      </w:r>
      <w:r w:rsidR="00AB23FE">
        <w:t xml:space="preserve"> </w:t>
      </w:r>
      <w:r w:rsidR="009D5183">
        <w:t>on a</w:t>
      </w:r>
      <w:r w:rsidR="00491103">
        <w:t xml:space="preserve"> personal</w:t>
      </w:r>
      <w:r w:rsidR="009D5183">
        <w:t xml:space="preserve"> </w:t>
      </w:r>
      <w:r w:rsidR="00491103">
        <w:t xml:space="preserve">social media </w:t>
      </w:r>
      <w:r w:rsidR="00AB6CCF">
        <w:t>account</w:t>
      </w:r>
      <w:r w:rsidR="00491103">
        <w:t xml:space="preserve">, </w:t>
      </w:r>
      <w:r w:rsidR="00AB23FE">
        <w:t xml:space="preserve">there are times where it is appropriate for an employer, school or </w:t>
      </w:r>
      <w:r w:rsidR="004E6C79">
        <w:t>qualifying</w:t>
      </w:r>
      <w:r w:rsidR="00AB23FE">
        <w:t xml:space="preserve"> body to set </w:t>
      </w:r>
      <w:r w:rsidR="008D79F6">
        <w:t xml:space="preserve">and enforce standards </w:t>
      </w:r>
      <w:r w:rsidR="00AB6CCF">
        <w:t xml:space="preserve">of conduct </w:t>
      </w:r>
      <w:r w:rsidR="008D79F6">
        <w:t xml:space="preserve">designed to protect others from harm or maintain trust in </w:t>
      </w:r>
      <w:r w:rsidR="004E6C79">
        <w:t>a</w:t>
      </w:r>
      <w:r w:rsidR="008D79F6">
        <w:t xml:space="preserve"> profession</w:t>
      </w:r>
      <w:r w:rsidR="00101D18">
        <w:t xml:space="preserve"> or organisation</w:t>
      </w:r>
      <w:r w:rsidR="008D79F6">
        <w:t>.</w:t>
      </w:r>
      <w:r w:rsidR="00AB6CCF">
        <w:t xml:space="preserve">  This Bill prevents that from occurring</w:t>
      </w:r>
      <w:r w:rsidR="00B96782">
        <w:t xml:space="preserve"> </w:t>
      </w:r>
      <w:r w:rsidR="003769E5">
        <w:t>b</w:t>
      </w:r>
      <w:r w:rsidR="00B96782">
        <w:t xml:space="preserve">y </w:t>
      </w:r>
      <w:r w:rsidR="00256798">
        <w:t>shielding misconduct from consequences when it occurs outside traditional occupational and educational settings</w:t>
      </w:r>
      <w:r w:rsidR="00AB6CCF">
        <w:t>.</w:t>
      </w:r>
    </w:p>
    <w:p w14:paraId="3FCC0FD8" w14:textId="040DBF63" w:rsidR="00AB6CCF" w:rsidRDefault="008A1D0F" w:rsidP="00AB6CCF">
      <w:pPr>
        <w:pStyle w:val="Heading2"/>
      </w:pPr>
      <w:bookmarkStart w:id="3" w:name="_Ref48739316"/>
      <w:bookmarkStart w:id="4" w:name="_Toc48921246"/>
      <w:r>
        <w:t>The ‘n</w:t>
      </w:r>
      <w:r w:rsidR="00232379">
        <w:t>o consequences for conduct</w:t>
      </w:r>
      <w:r>
        <w:t>’</w:t>
      </w:r>
      <w:r w:rsidR="00232379">
        <w:t xml:space="preserve"> provisions (ss 22</w:t>
      </w:r>
      <w:proofErr w:type="gramStart"/>
      <w:r w:rsidR="00232379">
        <w:t>N(</w:t>
      </w:r>
      <w:proofErr w:type="gramEnd"/>
      <w:r w:rsidR="00232379">
        <w:t>3)-(5), 22S(2)-(4) and 22V(3)-(5))</w:t>
      </w:r>
      <w:bookmarkEnd w:id="3"/>
      <w:bookmarkEnd w:id="4"/>
    </w:p>
    <w:p w14:paraId="4077F4A0" w14:textId="2F0E2B61" w:rsidR="00ED6660" w:rsidRDefault="00ED6660" w:rsidP="001A0CDC">
      <w:r w:rsidRPr="00ED6660">
        <w:t>It will be almost impossible for government and non-government employers, educators and professional and licencing bodies to foster inclusive cultures, or meet shareholder, customer or community expectations, when their employees or members use their religion privately to hurt others.</w:t>
      </w:r>
    </w:p>
    <w:p w14:paraId="3B793523" w14:textId="7E5A3F98" w:rsidR="001A0CDC" w:rsidRDefault="00FF048E" w:rsidP="001A0CDC">
      <w:r>
        <w:t>The no consequences for conduct provisions, p</w:t>
      </w:r>
      <w:r w:rsidR="001A0CDC">
        <w:t>roposed sections 22N(3)-(5), 22S(2)-(4) and 22V(3)-(5)</w:t>
      </w:r>
      <w:r>
        <w:t>,</w:t>
      </w:r>
      <w:r w:rsidR="001A0CDC">
        <w:t xml:space="preserve"> prohibit employers, educational authorities, and qualifying bodies (such as organisations which confer qualifications or professional or trade licenses) from restricting or disciplining a person who engages in religious activities outside their normal hours or places of work or education, except where those activities directly criticise or attack their </w:t>
      </w:r>
      <w:r w:rsidR="001A0CDC">
        <w:lastRenderedPageBreak/>
        <w:t xml:space="preserve">organisations or cause them </w:t>
      </w:r>
      <w:r w:rsidR="001A0CDC" w:rsidRPr="3B859BCD">
        <w:rPr>
          <w:i/>
          <w:iCs/>
        </w:rPr>
        <w:t>‘direct and material financial detriment’</w:t>
      </w:r>
      <w:r w:rsidR="001A0CDC">
        <w:t>.</w:t>
      </w:r>
      <w:r w:rsidR="00B10ADC">
        <w:rPr>
          <w:rStyle w:val="FootnoteReference"/>
        </w:rPr>
        <w:footnoteReference w:id="5"/>
      </w:r>
      <w:r w:rsidR="001A0CDC">
        <w:t xml:space="preserve">  However, that financial detriment cannot include any boycotts, or the withdrawal of sponsorships or ‘other financial or corporate support’ from the organisation resulting from that religious activity.</w:t>
      </w:r>
      <w:r w:rsidR="00B10ADC">
        <w:rPr>
          <w:rStyle w:val="FootnoteReference"/>
        </w:rPr>
        <w:footnoteReference w:id="6"/>
      </w:r>
      <w:r w:rsidR="001A0CDC">
        <w:t xml:space="preserve">  ‘Religious activities’ are broadly defined to include any activity, which is not an imprisonable offence, that is </w:t>
      </w:r>
      <w:r w:rsidR="001A0CDC" w:rsidRPr="00C65551">
        <w:t>motivated</w:t>
      </w:r>
      <w:r w:rsidR="001A0CDC">
        <w:t xml:space="preserve"> by a religious belief.</w:t>
      </w:r>
      <w:r w:rsidR="00B10ADC">
        <w:rPr>
          <w:rStyle w:val="FootnoteReference"/>
        </w:rPr>
        <w:footnoteReference w:id="7"/>
      </w:r>
    </w:p>
    <w:p w14:paraId="33F84FD0" w14:textId="0743184E" w:rsidR="001A0CDC" w:rsidRDefault="001A0CDC" w:rsidP="001A0CDC">
      <w:r>
        <w:t xml:space="preserve">This means that all NSW government and non-government employers, educators and </w:t>
      </w:r>
      <w:r w:rsidR="00110DF5">
        <w:t xml:space="preserve">bodies conferring occupational and professional licences and qualifications </w:t>
      </w:r>
      <w:r>
        <w:t xml:space="preserve">will be unable to respond appropriately to religiously-motivated conduct which may breach civil obligations (such as breaches of contract, professional obligations, or civil vilification laws) or cause harm to others.  </w:t>
      </w:r>
    </w:p>
    <w:p w14:paraId="581ABF12" w14:textId="77777777" w:rsidR="001A0CDC" w:rsidRDefault="001A0CDC" w:rsidP="00E0315E">
      <w:pPr>
        <w:keepNext/>
      </w:pPr>
      <w:r>
        <w:t>For example:</w:t>
      </w:r>
    </w:p>
    <w:p w14:paraId="1520ED95" w14:textId="16CFBBB6" w:rsidR="001A0CDC" w:rsidRDefault="001A0CDC" w:rsidP="009D468A">
      <w:pPr>
        <w:pStyle w:val="Bullet"/>
      </w:pPr>
      <w:r>
        <w:t>the NSW Government, as an employer, may not be able to discipline a teacher who expresses offensive or outdated views</w:t>
      </w:r>
      <w:r w:rsidR="00203544" w:rsidRPr="00203544">
        <w:t xml:space="preserve"> </w:t>
      </w:r>
      <w:r>
        <w:t xml:space="preserve">based on </w:t>
      </w:r>
      <w:r w:rsidR="00203544">
        <w:t xml:space="preserve">their </w:t>
      </w:r>
      <w:r>
        <w:t>religious beliefs</w:t>
      </w:r>
      <w:r w:rsidR="00C76D98">
        <w:t xml:space="preserve"> outside the classroom</w:t>
      </w:r>
      <w:r>
        <w:t>, notwithstanding the detriment such public statements could have to maintaining community confidence in their ability to perform their role impartially;</w:t>
      </w:r>
    </w:p>
    <w:p w14:paraId="2B473104" w14:textId="77777777" w:rsidR="001A0CDC" w:rsidRDefault="001A0CDC" w:rsidP="009D468A">
      <w:pPr>
        <w:pStyle w:val="Bullet"/>
      </w:pPr>
      <w:r>
        <w:t>a health disciplinary body may not be able to investigate a doctor or psychologist who promotes LGBT conversion ‘therapies’ through their church, notwithstanding that such opinions carry more weight because of their standing as health professionals;</w:t>
      </w:r>
    </w:p>
    <w:p w14:paraId="30AE8C01" w14:textId="638FBEAB" w:rsidR="00B44CB2" w:rsidRDefault="001A0CDC" w:rsidP="009D468A">
      <w:pPr>
        <w:pStyle w:val="Bullet"/>
      </w:pPr>
      <w:r>
        <w:t>an employer would not be able to prevent a prominent employee and public figure from expressing offensive or outdated views</w:t>
      </w:r>
      <w:r w:rsidR="00203544">
        <w:t xml:space="preserve"> </w:t>
      </w:r>
      <w:r w:rsidR="00C76D98">
        <w:t xml:space="preserve">based on their religious beliefs </w:t>
      </w:r>
      <w:r w:rsidR="00203544">
        <w:t>on the footpath outside their work or on a social media platform,</w:t>
      </w:r>
      <w:r>
        <w:t xml:space="preserve"> even if it destroys their sponsorship revenue or customer base</w:t>
      </w:r>
      <w:r w:rsidR="00A5743F">
        <w:t xml:space="preserve"> of the organisation</w:t>
      </w:r>
      <w:r>
        <w:t>.</w:t>
      </w:r>
      <w:r w:rsidR="00537395">
        <w:t xml:space="preserve">  </w:t>
      </w:r>
    </w:p>
    <w:p w14:paraId="07FCB8F2" w14:textId="3328C9E9" w:rsidR="00270620" w:rsidRDefault="003170DF" w:rsidP="00270620">
      <w:pPr>
        <w:pStyle w:val="Heading2"/>
      </w:pPr>
      <w:bookmarkStart w:id="5" w:name="_Toc48921247"/>
      <w:r>
        <w:t>Unworkable and i</w:t>
      </w:r>
      <w:r w:rsidR="00270620">
        <w:t>nconsistent obligations for employers</w:t>
      </w:r>
      <w:bookmarkEnd w:id="5"/>
    </w:p>
    <w:p w14:paraId="0CB99618" w14:textId="4FA27ACC" w:rsidR="0089537E" w:rsidRDefault="00A5743F" w:rsidP="005B71D6">
      <w:r>
        <w:t>The no consequences for conduct</w:t>
      </w:r>
      <w:r w:rsidR="00C76D98">
        <w:t xml:space="preserve"> provisions </w:t>
      </w:r>
      <w:r w:rsidR="0007671F">
        <w:t>could leave government employers and businesses</w:t>
      </w:r>
      <w:r w:rsidR="00203544">
        <w:t xml:space="preserve"> </w:t>
      </w:r>
      <w:r w:rsidR="0007671F">
        <w:t>with no recourse when an employee</w:t>
      </w:r>
      <w:r w:rsidR="00AB6A55">
        <w:t xml:space="preserve">, motivated by </w:t>
      </w:r>
      <w:r w:rsidR="00537395">
        <w:t>their religious beliefs,</w:t>
      </w:r>
      <w:r w:rsidR="0007671F">
        <w:t xml:space="preserve"> destroys </w:t>
      </w:r>
      <w:r w:rsidR="00CE2E47">
        <w:t xml:space="preserve">community confidence </w:t>
      </w:r>
      <w:r w:rsidR="00D215A3">
        <w:t xml:space="preserve">in the organisation </w:t>
      </w:r>
      <w:r w:rsidR="00CE2E47">
        <w:t xml:space="preserve">or </w:t>
      </w:r>
      <w:r w:rsidR="00D215A3">
        <w:t xml:space="preserve">a business’ </w:t>
      </w:r>
      <w:r w:rsidR="00AB6A55">
        <w:t>reputation or goodwill.</w:t>
      </w:r>
      <w:r w:rsidR="00A722EA">
        <w:t xml:space="preserve"> </w:t>
      </w:r>
      <w:r w:rsidR="0094295C">
        <w:t xml:space="preserve"> </w:t>
      </w:r>
      <w:r w:rsidR="00A028DD">
        <w:t xml:space="preserve">Comments made by an employee on the footpath outside </w:t>
      </w:r>
      <w:r w:rsidR="007B2AE8">
        <w:t>their</w:t>
      </w:r>
      <w:r w:rsidR="00A028DD">
        <w:t xml:space="preserve"> workplace</w:t>
      </w:r>
      <w:r w:rsidR="0094295C">
        <w:t xml:space="preserve"> </w:t>
      </w:r>
      <w:r w:rsidR="00A028DD">
        <w:t xml:space="preserve">(such as </w:t>
      </w:r>
      <w:r w:rsidR="00D215A3">
        <w:t>‘</w:t>
      </w:r>
      <w:r w:rsidR="00A028DD">
        <w:t>disability is caused by the devil</w:t>
      </w:r>
      <w:r w:rsidR="00D215A3">
        <w:t>’</w:t>
      </w:r>
      <w:r w:rsidR="00637385">
        <w:t>,</w:t>
      </w:r>
      <w:r w:rsidR="00A028DD">
        <w:t xml:space="preserve"> </w:t>
      </w:r>
      <w:r w:rsidR="00D215A3">
        <w:t>‘</w:t>
      </w:r>
      <w:r w:rsidR="00906D79">
        <w:t>women must submit to their husbands</w:t>
      </w:r>
      <w:r w:rsidR="00D215A3">
        <w:t>’</w:t>
      </w:r>
      <w:r w:rsidR="00906D79">
        <w:t>,</w:t>
      </w:r>
      <w:r w:rsidR="00297D74">
        <w:t xml:space="preserve"> ‘all </w:t>
      </w:r>
      <w:r w:rsidR="00C32407">
        <w:t xml:space="preserve">[people of another faith] </w:t>
      </w:r>
      <w:r w:rsidR="00297D74">
        <w:t>will go to hell’</w:t>
      </w:r>
      <w:r w:rsidR="00906D79">
        <w:t xml:space="preserve"> or </w:t>
      </w:r>
      <w:r w:rsidR="00D215A3">
        <w:t>‘</w:t>
      </w:r>
      <w:r w:rsidR="00F81A6A">
        <w:t>homosexuality is a form of brokenness</w:t>
      </w:r>
      <w:r w:rsidR="00D215A3">
        <w:t>’</w:t>
      </w:r>
      <w:r w:rsidR="00A028DD">
        <w:t xml:space="preserve">) will be immune from any consequences.  </w:t>
      </w:r>
      <w:r w:rsidR="00A722EA">
        <w:t xml:space="preserve">This is because employers cannot rely on the loss of </w:t>
      </w:r>
      <w:r w:rsidR="00A028DD">
        <w:t xml:space="preserve">any </w:t>
      </w:r>
      <w:r w:rsidR="00A722EA">
        <w:t xml:space="preserve">‘financial and corporate support’ </w:t>
      </w:r>
      <w:r w:rsidR="00A028DD">
        <w:t>in asking their employees to refrain from</w:t>
      </w:r>
      <w:r w:rsidR="00D215A3">
        <w:t xml:space="preserve"> their</w:t>
      </w:r>
      <w:r w:rsidR="00A028DD">
        <w:t xml:space="preserve"> damaging behaviour.  </w:t>
      </w:r>
      <w:r w:rsidR="00906D79">
        <w:t xml:space="preserve">Nor can employers interfere with conduct </w:t>
      </w:r>
      <w:r w:rsidR="003B09D7">
        <w:t xml:space="preserve">motivated by a religious belief which takes place </w:t>
      </w:r>
      <w:r w:rsidR="00C25916" w:rsidRPr="3B859BCD">
        <w:rPr>
          <w:i/>
          <w:iCs/>
        </w:rPr>
        <w:t>‘at a place other than the employer’s place of work’</w:t>
      </w:r>
      <w:r w:rsidR="003B09D7" w:rsidRPr="3B859BCD">
        <w:rPr>
          <w:i/>
          <w:iCs/>
        </w:rPr>
        <w:t xml:space="preserve"> </w:t>
      </w:r>
      <w:r w:rsidR="003B09D7">
        <w:t xml:space="preserve">or </w:t>
      </w:r>
      <w:r w:rsidR="00EA3131" w:rsidRPr="3B859BCD">
        <w:rPr>
          <w:i/>
          <w:iCs/>
        </w:rPr>
        <w:t>‘at a time other than when the employee is performing work’</w:t>
      </w:r>
      <w:r w:rsidR="00637385">
        <w:t>.</w:t>
      </w:r>
      <w:r w:rsidR="00DE0E57">
        <w:rPr>
          <w:rStyle w:val="FootnoteReference"/>
        </w:rPr>
        <w:footnoteReference w:id="8"/>
      </w:r>
      <w:r w:rsidR="00637385">
        <w:t xml:space="preserve">  </w:t>
      </w:r>
    </w:p>
    <w:p w14:paraId="3C4C34B7" w14:textId="71B7AE29" w:rsidR="007F648E" w:rsidRDefault="007F648E" w:rsidP="007F648E">
      <w:r>
        <w:t xml:space="preserve">These provisions are inconsistent with </w:t>
      </w:r>
      <w:r w:rsidR="00F81A6A">
        <w:t xml:space="preserve">existing </w:t>
      </w:r>
      <w:r>
        <w:t>legal obligations falling on employers that apply outside traditional workplace settings or after hours.  For example, sexual harassment and workplace bullying laws can apply after hours or outside of workplaces if the conduct is connected to the employer’s workplace and business, such as when it impacts on other co-workers.</w:t>
      </w:r>
      <w:r>
        <w:rPr>
          <w:rStyle w:val="FootnoteReference"/>
        </w:rPr>
        <w:footnoteReference w:id="9"/>
      </w:r>
      <w:r>
        <w:t xml:space="preserve">  Employers will find it impossible to comply with inconsistent obligations: one which </w:t>
      </w:r>
      <w:r w:rsidRPr="003170DF">
        <w:t>requires</w:t>
      </w:r>
      <w:r>
        <w:t xml:space="preserve"> them to </w:t>
      </w:r>
      <w:r w:rsidRPr="003170DF">
        <w:t>stop</w:t>
      </w:r>
      <w:r>
        <w:t xml:space="preserve"> conduct from occurring, and another which prohibits them from </w:t>
      </w:r>
      <w:r w:rsidR="003170DF">
        <w:t>stopping that conduct</w:t>
      </w:r>
      <w:r>
        <w:t>.</w:t>
      </w:r>
      <w:r w:rsidR="00744296">
        <w:t xml:space="preserve">  Employers, public and private alike, are being </w:t>
      </w:r>
      <w:r w:rsidR="00FF3E0B">
        <w:t>placed in an impossible position.</w:t>
      </w:r>
    </w:p>
    <w:p w14:paraId="4DDD4FAC" w14:textId="54C706FC" w:rsidR="003170DF" w:rsidRDefault="008244FB" w:rsidP="003170DF">
      <w:pPr>
        <w:pStyle w:val="Heading2"/>
      </w:pPr>
      <w:bookmarkStart w:id="6" w:name="_Toc48921248"/>
      <w:r>
        <w:lastRenderedPageBreak/>
        <w:t>Impacts on schools and students</w:t>
      </w:r>
      <w:bookmarkEnd w:id="6"/>
    </w:p>
    <w:p w14:paraId="25D054D7" w14:textId="28DBA908" w:rsidR="0062314A" w:rsidRDefault="00AC12F4" w:rsidP="005B71D6">
      <w:r>
        <w:t>The no consequences for conduct</w:t>
      </w:r>
      <w:r w:rsidR="0062314A">
        <w:t xml:space="preserve"> provisions could </w:t>
      </w:r>
      <w:r w:rsidR="006B4BB3">
        <w:t xml:space="preserve">also </w:t>
      </w:r>
      <w:r w:rsidR="0062314A">
        <w:t>leave schools</w:t>
      </w:r>
      <w:r w:rsidR="006B4BB3">
        <w:t xml:space="preserve"> and other educational institutions</w:t>
      </w:r>
      <w:r w:rsidR="0062314A">
        <w:t xml:space="preserve"> with no recourse when a student, motivated by their religious beliefs, </w:t>
      </w:r>
      <w:r w:rsidR="00E73D90">
        <w:t xml:space="preserve">engages in harmful conduct </w:t>
      </w:r>
      <w:r w:rsidR="00AB2B83">
        <w:t>to</w:t>
      </w:r>
      <w:r w:rsidR="00E73D90">
        <w:t>wards</w:t>
      </w:r>
      <w:r w:rsidR="00AB2B83">
        <w:t xml:space="preserve"> another student on the footpath outside their school, on the way to school, </w:t>
      </w:r>
      <w:r w:rsidR="001668DB">
        <w:t xml:space="preserve">or </w:t>
      </w:r>
      <w:r w:rsidR="00861C5A">
        <w:t>during a school sporting match on the weekend</w:t>
      </w:r>
      <w:r w:rsidR="0062314A">
        <w:t>.</w:t>
      </w:r>
      <w:r w:rsidR="00861C5A">
        <w:t xml:space="preserve">  This is because schools </w:t>
      </w:r>
      <w:r w:rsidR="00EC0DAF">
        <w:t xml:space="preserve">and educational institutions also </w:t>
      </w:r>
      <w:r w:rsidR="00861C5A">
        <w:t>cannot interfere with conduct motivated by a religious belief which takes place</w:t>
      </w:r>
      <w:r w:rsidR="0062314A">
        <w:t xml:space="preserve"> </w:t>
      </w:r>
      <w:r w:rsidR="000D765C" w:rsidRPr="3B859BCD">
        <w:rPr>
          <w:i/>
          <w:iCs/>
        </w:rPr>
        <w:t xml:space="preserve">‘at a place other than the person’s place of education’ </w:t>
      </w:r>
      <w:r w:rsidR="000D765C">
        <w:t xml:space="preserve">or </w:t>
      </w:r>
      <w:r w:rsidR="000D765C" w:rsidRPr="3B859BCD">
        <w:rPr>
          <w:i/>
          <w:iCs/>
        </w:rPr>
        <w:t>‘at a time other than when the employee is receiving education’</w:t>
      </w:r>
      <w:r w:rsidR="000D765C">
        <w:t>.</w:t>
      </w:r>
      <w:r w:rsidR="000D765C">
        <w:rPr>
          <w:rStyle w:val="FootnoteReference"/>
        </w:rPr>
        <w:footnoteReference w:id="10"/>
      </w:r>
      <w:r w:rsidR="000D765C">
        <w:t xml:space="preserve"> </w:t>
      </w:r>
    </w:p>
    <w:p w14:paraId="571D6B6F" w14:textId="3E76AF27" w:rsidR="00370245" w:rsidRDefault="00255F98" w:rsidP="005B71D6">
      <w:r>
        <w:t xml:space="preserve">This Bill would prohibit a school responding to a student </w:t>
      </w:r>
      <w:r w:rsidR="0026686E">
        <w:t>who</w:t>
      </w:r>
      <w:r w:rsidR="00EC0DAF">
        <w:t>,</w:t>
      </w:r>
      <w:r w:rsidR="0026686E">
        <w:t xml:space="preserve"> </w:t>
      </w:r>
      <w:r w:rsidR="00A37213">
        <w:t>motivated by their religious beliefs</w:t>
      </w:r>
      <w:r w:rsidR="00EC0DAF">
        <w:t xml:space="preserve">, tells </w:t>
      </w:r>
      <w:r w:rsidR="0026686E">
        <w:t>another student</w:t>
      </w:r>
      <w:r w:rsidR="00370245">
        <w:t xml:space="preserve"> on the way to school</w:t>
      </w:r>
      <w:r w:rsidR="0026686E">
        <w:t xml:space="preserve"> </w:t>
      </w:r>
      <w:r w:rsidR="005F0469">
        <w:t>that</w:t>
      </w:r>
      <w:r w:rsidR="00370245">
        <w:t>:</w:t>
      </w:r>
      <w:r w:rsidR="0026686E">
        <w:t xml:space="preserve"> </w:t>
      </w:r>
    </w:p>
    <w:p w14:paraId="21C0B914" w14:textId="2E0EBB00" w:rsidR="00370245" w:rsidRDefault="00370245" w:rsidP="00370245">
      <w:pPr>
        <w:pStyle w:val="Bullet"/>
      </w:pPr>
      <w:r>
        <w:t xml:space="preserve">they </w:t>
      </w:r>
      <w:r w:rsidR="004C53F9">
        <w:t>are</w:t>
      </w:r>
      <w:r>
        <w:t xml:space="preserve"> going to hell because they </w:t>
      </w:r>
      <w:r w:rsidR="0075251D">
        <w:t>follow</w:t>
      </w:r>
      <w:r>
        <w:t xml:space="preserve"> a different </w:t>
      </w:r>
      <w:r w:rsidR="00302999">
        <w:t xml:space="preserve">(or no) </w:t>
      </w:r>
      <w:r>
        <w:t>religion;</w:t>
      </w:r>
    </w:p>
    <w:p w14:paraId="7CEC42F1" w14:textId="6A5DD78A" w:rsidR="00D05A50" w:rsidRDefault="00B00987" w:rsidP="00370245">
      <w:pPr>
        <w:pStyle w:val="Bullet"/>
      </w:pPr>
      <w:r>
        <w:t xml:space="preserve">their parents </w:t>
      </w:r>
      <w:r w:rsidR="001439C9">
        <w:t>are</w:t>
      </w:r>
      <w:r w:rsidR="004C53F9">
        <w:t xml:space="preserve"> going to hell for </w:t>
      </w:r>
      <w:r w:rsidR="00D05A50">
        <w:t>divorcing;</w:t>
      </w:r>
    </w:p>
    <w:p w14:paraId="0732B14F" w14:textId="4EBC9867" w:rsidR="00D05A50" w:rsidRDefault="005F0D40" w:rsidP="00370245">
      <w:pPr>
        <w:pStyle w:val="Bullet"/>
      </w:pPr>
      <w:r>
        <w:t>their sibling</w:t>
      </w:r>
      <w:r w:rsidR="00582C15">
        <w:t xml:space="preserve">’s disability </w:t>
      </w:r>
      <w:r w:rsidR="008B0685">
        <w:t>is</w:t>
      </w:r>
      <w:r w:rsidR="004C53F9">
        <w:t xml:space="preserve"> a punishment from God</w:t>
      </w:r>
      <w:r w:rsidR="005B4C6A">
        <w:t>;</w:t>
      </w:r>
      <w:r w:rsidR="004C53F9">
        <w:t xml:space="preserve"> or</w:t>
      </w:r>
    </w:p>
    <w:p w14:paraId="1042D5B5" w14:textId="4B683882" w:rsidR="00255F98" w:rsidRDefault="00582C15" w:rsidP="00370245">
      <w:pPr>
        <w:pStyle w:val="Bullet"/>
      </w:pPr>
      <w:r>
        <w:t xml:space="preserve">God hates </w:t>
      </w:r>
      <w:r w:rsidR="0057509B">
        <w:t>gay</w:t>
      </w:r>
      <w:r w:rsidR="00C3348E">
        <w:t>, lesbian, bisexual,</w:t>
      </w:r>
      <w:r w:rsidR="0057509B">
        <w:t xml:space="preserve"> trans</w:t>
      </w:r>
      <w:r w:rsidR="00C3348E">
        <w:t xml:space="preserve"> or queer</w:t>
      </w:r>
      <w:r>
        <w:t xml:space="preserve"> people</w:t>
      </w:r>
      <w:r w:rsidR="0057509B">
        <w:t>.</w:t>
      </w:r>
    </w:p>
    <w:p w14:paraId="0CDD8CAF" w14:textId="76D46E7E" w:rsidR="00420DBD" w:rsidRDefault="00420DBD" w:rsidP="00420DBD">
      <w:r>
        <w:t xml:space="preserve">This is a law which </w:t>
      </w:r>
      <w:r w:rsidR="00000FCB">
        <w:t xml:space="preserve">makes it unlawful for schools to respond to </w:t>
      </w:r>
      <w:r w:rsidR="00317CCC">
        <w:t>cruelty in the name of religion</w:t>
      </w:r>
      <w:r w:rsidR="00166D16">
        <w:t xml:space="preserve"> when that occurs on the footpath outside a school, on the way to school, or online after school</w:t>
      </w:r>
      <w:r w:rsidR="00317CCC">
        <w:t>.</w:t>
      </w:r>
    </w:p>
    <w:p w14:paraId="6497EA4A" w14:textId="1A1F311C" w:rsidR="00AC12F4" w:rsidRDefault="008244FB" w:rsidP="00AC12F4">
      <w:pPr>
        <w:pStyle w:val="Heading2"/>
      </w:pPr>
      <w:bookmarkStart w:id="7" w:name="_Toc48921249"/>
      <w:r>
        <w:t>Professional misconduct</w:t>
      </w:r>
      <w:bookmarkEnd w:id="7"/>
    </w:p>
    <w:p w14:paraId="2997B9D0" w14:textId="699E866E" w:rsidR="006759D9" w:rsidRDefault="00AC12F4" w:rsidP="00420DBD">
      <w:r>
        <w:t xml:space="preserve">The no consequences for conduct provisions would also apply to </w:t>
      </w:r>
      <w:r w:rsidR="00110DF5">
        <w:t xml:space="preserve">bodies </w:t>
      </w:r>
      <w:r>
        <w:t>that accredit, licence and regulate professionals such as doctors, nurses, psychologists, lawyers</w:t>
      </w:r>
      <w:r w:rsidR="006759D9">
        <w:t xml:space="preserve"> and teachers.  These </w:t>
      </w:r>
      <w:r w:rsidR="0047054D">
        <w:t xml:space="preserve">qualifying </w:t>
      </w:r>
      <w:r w:rsidR="006759D9">
        <w:t>bodies are responsible for protecting the public from conduct which fall</w:t>
      </w:r>
      <w:r w:rsidR="008625E0">
        <w:t>s</w:t>
      </w:r>
      <w:r w:rsidR="006759D9">
        <w:t xml:space="preserve"> below professional standards</w:t>
      </w:r>
      <w:r w:rsidR="008625E0">
        <w:t>, or people who are not fit and proper to perform the roles entrusted to them.</w:t>
      </w:r>
    </w:p>
    <w:p w14:paraId="3BC17B0D" w14:textId="5B8E08FE" w:rsidR="005515D7" w:rsidRDefault="005515D7" w:rsidP="00420DBD">
      <w:r>
        <w:t xml:space="preserve">The no consequences for conduct provisions are particularly ill-fitting </w:t>
      </w:r>
      <w:r w:rsidR="00DC251F">
        <w:t xml:space="preserve">for the functions performed by these qualifying bodies </w:t>
      </w:r>
      <w:r>
        <w:t>because:</w:t>
      </w:r>
    </w:p>
    <w:p w14:paraId="22AFC8EE" w14:textId="2D7AF56E" w:rsidR="005515D7" w:rsidRDefault="00AD23D1" w:rsidP="005515D7">
      <w:pPr>
        <w:pStyle w:val="Bullet"/>
      </w:pPr>
      <w:r>
        <w:t>t</w:t>
      </w:r>
      <w:r w:rsidR="005515D7">
        <w:t>he Bill protects activities, motivated by religious beliefs, which</w:t>
      </w:r>
      <w:r w:rsidR="00C61DA2">
        <w:t xml:space="preserve"> breaches </w:t>
      </w:r>
      <w:r w:rsidR="005515D7">
        <w:t xml:space="preserve">laws and professional obligations </w:t>
      </w:r>
      <w:r w:rsidR="00C61DA2">
        <w:t xml:space="preserve">provided that they </w:t>
      </w:r>
      <w:r w:rsidR="005515D7">
        <w:t>do not amount to imprisonable crimes.</w:t>
      </w:r>
      <w:r w:rsidR="00DC251F">
        <w:rPr>
          <w:rStyle w:val="FootnoteReference"/>
        </w:rPr>
        <w:footnoteReference w:id="11"/>
      </w:r>
      <w:r w:rsidR="00DC251F">
        <w:t xml:space="preserve">  </w:t>
      </w:r>
      <w:r>
        <w:t>Yet</w:t>
      </w:r>
      <w:r w:rsidR="005515D7">
        <w:t xml:space="preserve"> </w:t>
      </w:r>
      <w:r w:rsidR="00DC251F">
        <w:t>m</w:t>
      </w:r>
      <w:r w:rsidR="005515D7">
        <w:t>ost</w:t>
      </w:r>
      <w:r w:rsidR="00DC251F">
        <w:t xml:space="preserve"> breaches of</w:t>
      </w:r>
      <w:r w:rsidR="005515D7">
        <w:t xml:space="preserve"> professional standards </w:t>
      </w:r>
      <w:r w:rsidR="00DC251F">
        <w:t>do not amount to imprisonable crime</w:t>
      </w:r>
      <w:r>
        <w:t>s</w:t>
      </w:r>
      <w:r w:rsidR="00DC251F">
        <w:t>, and therefore could be protected by definitions in the Bill</w:t>
      </w:r>
      <w:r>
        <w:t>;</w:t>
      </w:r>
    </w:p>
    <w:p w14:paraId="4E9FD414" w14:textId="21D6FDDE" w:rsidR="00AC12F4" w:rsidRDefault="00194799" w:rsidP="00B418CC">
      <w:pPr>
        <w:pStyle w:val="Bullet"/>
      </w:pPr>
      <w:r>
        <w:t xml:space="preserve">the no consequences for conduct provisions are framed around </w:t>
      </w:r>
      <w:r w:rsidR="00B31F8C">
        <w:t xml:space="preserve">the </w:t>
      </w:r>
      <w:r>
        <w:t>issues of financial harm to, or direct criticism of, the qualifying body.  Yet,</w:t>
      </w:r>
      <w:r w:rsidR="003A511A" w:rsidRPr="003A511A">
        <w:t xml:space="preserve"> </w:t>
      </w:r>
      <w:r w:rsidR="003A511A">
        <w:t xml:space="preserve">when qualifying bodies perform their investigative and disciplinary functions, they are </w:t>
      </w:r>
      <w:r w:rsidR="00C61DA2">
        <w:t>not motivated by financial considerations</w:t>
      </w:r>
      <w:r w:rsidR="00906780">
        <w:t xml:space="preserve"> or criticisms of their organisation</w:t>
      </w:r>
      <w:r w:rsidR="008F42D9">
        <w:t>.  Rather</w:t>
      </w:r>
      <w:r w:rsidR="003422F0">
        <w:t>,</w:t>
      </w:r>
      <w:r w:rsidR="008F42D9">
        <w:t xml:space="preserve"> </w:t>
      </w:r>
      <w:r w:rsidR="002C78A8">
        <w:t xml:space="preserve">these bodies perform their functions to protect the </w:t>
      </w:r>
      <w:r w:rsidR="00C61DA2">
        <w:t>public from</w:t>
      </w:r>
      <w:r w:rsidR="003A511A">
        <w:t xml:space="preserve"> </w:t>
      </w:r>
      <w:r w:rsidR="004E40C8">
        <w:t xml:space="preserve">conduct </w:t>
      </w:r>
      <w:r w:rsidR="00B0115E">
        <w:t xml:space="preserve">or potential future conduct </w:t>
      </w:r>
      <w:r w:rsidR="004E40C8">
        <w:t>which falls</w:t>
      </w:r>
      <w:r w:rsidR="00B0115E">
        <w:t xml:space="preserve"> or may fall</w:t>
      </w:r>
      <w:r w:rsidR="004E40C8">
        <w:t xml:space="preserve"> below professional standards.  </w:t>
      </w:r>
      <w:r w:rsidR="006A12CE">
        <w:t>T</w:t>
      </w:r>
      <w:r w:rsidR="00614C70">
        <w:t>he</w:t>
      </w:r>
      <w:r w:rsidR="00544B03">
        <w:t>se bodies</w:t>
      </w:r>
      <w:r w:rsidR="00881D28">
        <w:t xml:space="preserve"> </w:t>
      </w:r>
      <w:r w:rsidR="00FA30B8">
        <w:t>consider</w:t>
      </w:r>
      <w:r w:rsidR="006A12CE">
        <w:t xml:space="preserve"> </w:t>
      </w:r>
      <w:r w:rsidR="00881D28">
        <w:t xml:space="preserve">matters of character </w:t>
      </w:r>
      <w:r w:rsidR="00FA30B8">
        <w:t xml:space="preserve">to </w:t>
      </w:r>
      <w:r w:rsidR="006A12CE">
        <w:t xml:space="preserve">assess </w:t>
      </w:r>
      <w:r w:rsidR="00614C70">
        <w:t xml:space="preserve">whether someone is </w:t>
      </w:r>
      <w:r w:rsidR="006A12CE">
        <w:t xml:space="preserve">a </w:t>
      </w:r>
      <w:r>
        <w:t>‘</w:t>
      </w:r>
      <w:r w:rsidR="00614C70">
        <w:t>fit and proper</w:t>
      </w:r>
      <w:r>
        <w:t>’</w:t>
      </w:r>
      <w:r w:rsidR="00614C70">
        <w:t xml:space="preserve"> person to perform the role </w:t>
      </w:r>
      <w:r w:rsidR="00544B03">
        <w:t>entrusted to them</w:t>
      </w:r>
      <w:r w:rsidR="00FA30B8">
        <w:t>, including</w:t>
      </w:r>
      <w:r w:rsidR="006A12CE">
        <w:t xml:space="preserve"> by </w:t>
      </w:r>
      <w:r>
        <w:t xml:space="preserve">having regard to matters in </w:t>
      </w:r>
      <w:r w:rsidR="00614C70">
        <w:t xml:space="preserve">someone’s personal life </w:t>
      </w:r>
      <w:r w:rsidR="00544B03">
        <w:t>which</w:t>
      </w:r>
      <w:r w:rsidR="00B418CC">
        <w:t xml:space="preserve"> impact</w:t>
      </w:r>
      <w:r w:rsidR="00544B03">
        <w:t>s</w:t>
      </w:r>
      <w:r w:rsidR="00B418CC">
        <w:t xml:space="preserve"> on their ability to perform </w:t>
      </w:r>
      <w:r w:rsidR="00544B03">
        <w:t>that</w:t>
      </w:r>
      <w:r w:rsidR="00B418CC">
        <w:t xml:space="preserve"> role</w:t>
      </w:r>
      <w:r w:rsidR="006A12CE">
        <w:t xml:space="preserve"> </w:t>
      </w:r>
      <w:r w:rsidR="00FA30B8">
        <w:t>(</w:t>
      </w:r>
      <w:r w:rsidR="006A12CE">
        <w:t xml:space="preserve">such as </w:t>
      </w:r>
      <w:r w:rsidR="005A0276">
        <w:t>conduct which reveals dishonesty,</w:t>
      </w:r>
      <w:r w:rsidR="00FA30B8">
        <w:t xml:space="preserve"> lack of judgement,</w:t>
      </w:r>
      <w:r w:rsidR="005A0276">
        <w:t xml:space="preserve"> </w:t>
      </w:r>
      <w:r>
        <w:t xml:space="preserve">misconduct </w:t>
      </w:r>
      <w:r w:rsidR="005A0276">
        <w:t xml:space="preserve">in Australia or overseas, </w:t>
      </w:r>
      <w:r w:rsidR="003556C5">
        <w:t xml:space="preserve">lack of ability to adopt professional boundaries, </w:t>
      </w:r>
      <w:r w:rsidR="005A0276">
        <w:t xml:space="preserve">or </w:t>
      </w:r>
      <w:r w:rsidR="003556C5">
        <w:t>lack of capacity</w:t>
      </w:r>
      <w:r w:rsidR="00FA30B8">
        <w:t xml:space="preserve"> due to </w:t>
      </w:r>
      <w:r w:rsidR="006A12CE">
        <w:t>substance use</w:t>
      </w:r>
      <w:r w:rsidR="00FA30B8">
        <w:t>, mental impairment or otherwise)</w:t>
      </w:r>
      <w:r w:rsidR="00B418CC">
        <w:t xml:space="preserve">.  </w:t>
      </w:r>
      <w:r>
        <w:t xml:space="preserve">The no consequences for conduct provisions stand in the way of a qualifying body considering relevant </w:t>
      </w:r>
      <w:r w:rsidR="00B31F8C">
        <w:t xml:space="preserve">matters when they relate to a person’s </w:t>
      </w:r>
      <w:r w:rsidR="003556C5">
        <w:t xml:space="preserve">religious </w:t>
      </w:r>
      <w:r w:rsidR="00B31F8C">
        <w:t xml:space="preserve">beliefs or conduct </w:t>
      </w:r>
      <w:r w:rsidR="00FA30B8">
        <w:t>that</w:t>
      </w:r>
      <w:r w:rsidR="00B31F8C">
        <w:t xml:space="preserve"> is motivated by those </w:t>
      </w:r>
      <w:r w:rsidR="00B31F8C">
        <w:lastRenderedPageBreak/>
        <w:t>beliefs.</w:t>
      </w:r>
      <w:r w:rsidR="007F6AE5">
        <w:t xml:space="preserve">  </w:t>
      </w:r>
      <w:r w:rsidR="00FA30B8">
        <w:t>T</w:t>
      </w:r>
      <w:r w:rsidR="007F6AE5">
        <w:t xml:space="preserve">hey are unlikely to </w:t>
      </w:r>
      <w:r w:rsidR="00544B03">
        <w:t>allow</w:t>
      </w:r>
      <w:r w:rsidR="007F6AE5">
        <w:t xml:space="preserve"> </w:t>
      </w:r>
      <w:r w:rsidR="00544B03">
        <w:t xml:space="preserve">a </w:t>
      </w:r>
      <w:r w:rsidR="007F6AE5">
        <w:t xml:space="preserve">qualifying body to </w:t>
      </w:r>
      <w:r w:rsidR="00C512DA">
        <w:t>be able to</w:t>
      </w:r>
      <w:r w:rsidR="007F6AE5">
        <w:t xml:space="preserve"> investigate or discipline a professional who</w:t>
      </w:r>
      <w:r w:rsidR="00C512DA">
        <w:t xml:space="preserve"> engages in private conduct, motivated by religious beliefs, which raises questions about the fitness of </w:t>
      </w:r>
      <w:r w:rsidR="00544B03">
        <w:t>that</w:t>
      </w:r>
      <w:r w:rsidR="00C512DA">
        <w:t xml:space="preserve"> </w:t>
      </w:r>
      <w:r w:rsidR="008625E0">
        <w:t xml:space="preserve">person to perform the role entrusted </w:t>
      </w:r>
      <w:r w:rsidR="00C86599">
        <w:t>to</w:t>
      </w:r>
      <w:r w:rsidR="008625E0">
        <w:t xml:space="preserve"> them</w:t>
      </w:r>
      <w:r w:rsidR="007F6AE5">
        <w:t xml:space="preserve">.   </w:t>
      </w:r>
    </w:p>
    <w:p w14:paraId="6B3443F7" w14:textId="77777777" w:rsidR="00F33873" w:rsidRDefault="00740C34" w:rsidP="00740C34">
      <w:r>
        <w:t xml:space="preserve">There are numerous cases where </w:t>
      </w:r>
      <w:r w:rsidR="002229A0">
        <w:t>qualifying</w:t>
      </w:r>
      <w:r w:rsidR="007A1871">
        <w:t xml:space="preserve"> bodies have cautioned or disciplined </w:t>
      </w:r>
      <w:r w:rsidR="002229A0">
        <w:t xml:space="preserve">health professionals who have been unable to meet </w:t>
      </w:r>
      <w:r w:rsidR="00F33873">
        <w:t xml:space="preserve">their </w:t>
      </w:r>
      <w:r w:rsidR="002229A0">
        <w:t>professional standards in a manner influenced by their religious beliefs.</w:t>
      </w:r>
      <w:r w:rsidR="00D83A37">
        <w:t xml:space="preserve">  </w:t>
      </w:r>
    </w:p>
    <w:p w14:paraId="3CE1E310" w14:textId="1A23D1CC" w:rsidR="00280E2A" w:rsidRDefault="00D83A37" w:rsidP="00740C34">
      <w:r>
        <w:t>For example</w:t>
      </w:r>
      <w:r w:rsidR="00280E2A">
        <w:t>:</w:t>
      </w:r>
      <w:r>
        <w:t xml:space="preserve"> </w:t>
      </w:r>
    </w:p>
    <w:p w14:paraId="34399CDE" w14:textId="77777777" w:rsidR="00280E2A" w:rsidRDefault="00280E2A" w:rsidP="00280E2A">
      <w:pPr>
        <w:pStyle w:val="Bullet"/>
      </w:pPr>
      <w:r>
        <w:t xml:space="preserve">in 2015, a psychiatrist </w:t>
      </w:r>
      <w:r w:rsidRPr="00280E2A">
        <w:t>and</w:t>
      </w:r>
      <w:r>
        <w:t xml:space="preserve"> devout Catholic was deregistered for, among other things, making religious comments and gestures to 5 women, including: </w:t>
      </w:r>
    </w:p>
    <w:p w14:paraId="0D2F1772" w14:textId="200D2B0F" w:rsidR="00280E2A" w:rsidRDefault="00280E2A" w:rsidP="00280E2A">
      <w:pPr>
        <w:pStyle w:val="Bullet"/>
        <w:numPr>
          <w:ilvl w:val="2"/>
          <w:numId w:val="12"/>
        </w:numPr>
      </w:pPr>
      <w:r>
        <w:t xml:space="preserve">a woman with depression who he told </w:t>
      </w:r>
      <w:r w:rsidRPr="00280E2A">
        <w:rPr>
          <w:i/>
          <w:iCs/>
        </w:rPr>
        <w:t>‘should be looking forward to the Kingdom of Heaven’</w:t>
      </w:r>
      <w:r>
        <w:t xml:space="preserve">; and </w:t>
      </w:r>
    </w:p>
    <w:p w14:paraId="62A32C34" w14:textId="628DB12C" w:rsidR="00280E2A" w:rsidRDefault="00280E2A" w:rsidP="00280E2A">
      <w:pPr>
        <w:pStyle w:val="Bullet"/>
        <w:numPr>
          <w:ilvl w:val="2"/>
          <w:numId w:val="12"/>
        </w:numPr>
      </w:pPr>
      <w:r>
        <w:t xml:space="preserve">a sexual abuse survivor with depression, who had been discharged from an alcohol detoxification program, who he told that </w:t>
      </w:r>
      <w:r w:rsidRPr="3B859BCD">
        <w:rPr>
          <w:i/>
          <w:iCs/>
        </w:rPr>
        <w:t xml:space="preserve">‘Jesus drank, and you don’t </w:t>
      </w:r>
      <w:r w:rsidR="63063812" w:rsidRPr="00AD2282">
        <w:rPr>
          <w:i/>
          <w:iCs/>
        </w:rPr>
        <w:t>need</w:t>
      </w:r>
      <w:r w:rsidR="63063812" w:rsidRPr="3B859BCD">
        <w:rPr>
          <w:i/>
          <w:iCs/>
        </w:rPr>
        <w:t xml:space="preserve"> </w:t>
      </w:r>
      <w:r w:rsidRPr="3B859BCD">
        <w:rPr>
          <w:i/>
          <w:iCs/>
        </w:rPr>
        <w:t>any medication’</w:t>
      </w:r>
      <w:r>
        <w:t xml:space="preserve"> and that if she didn’t </w:t>
      </w:r>
      <w:r w:rsidRPr="3B859BCD">
        <w:rPr>
          <w:i/>
          <w:iCs/>
        </w:rPr>
        <w:t>‘show Jesus that she loved him’</w:t>
      </w:r>
      <w:r>
        <w:t xml:space="preserve">, she would </w:t>
      </w:r>
      <w:r w:rsidRPr="3B859BCD">
        <w:rPr>
          <w:i/>
          <w:iCs/>
        </w:rPr>
        <w:t>‘end up in hell’</w:t>
      </w:r>
      <w:r>
        <w:t xml:space="preserve"> with her former abuser;</w:t>
      </w:r>
      <w:r>
        <w:rPr>
          <w:rStyle w:val="FootnoteReference"/>
        </w:rPr>
        <w:footnoteReference w:id="12"/>
      </w:r>
    </w:p>
    <w:p w14:paraId="5E38361A" w14:textId="18EF4C64" w:rsidR="00272B9B" w:rsidRDefault="00272B9B" w:rsidP="00280E2A">
      <w:pPr>
        <w:pStyle w:val="Bullet"/>
      </w:pPr>
      <w:r>
        <w:t xml:space="preserve">in 2012, a doctor and member of the Exclusive </w:t>
      </w:r>
      <w:r w:rsidR="00212923">
        <w:t>Brethren</w:t>
      </w:r>
      <w:r>
        <w:t xml:space="preserve"> </w:t>
      </w:r>
      <w:r w:rsidR="00212923">
        <w:t xml:space="preserve">had restrictions placed on his licence to practice </w:t>
      </w:r>
      <w:r w:rsidR="000F61A1">
        <w:t xml:space="preserve">after consulting with an 18-year-old man from his church </w:t>
      </w:r>
      <w:r w:rsidR="004A6B79">
        <w:t>in</w:t>
      </w:r>
      <w:r w:rsidR="000F61A1">
        <w:t xml:space="preserve"> his home</w:t>
      </w:r>
      <w:r w:rsidR="00F108D0">
        <w:t>,</w:t>
      </w:r>
      <w:r w:rsidR="004A6B79">
        <w:t xml:space="preserve"> and prescribing a medication that reduces testosterone and can be used to treat advanced prostate cancer or manage sexual deviation</w:t>
      </w:r>
      <w:r w:rsidR="00F108D0">
        <w:t>,</w:t>
      </w:r>
      <w:r w:rsidR="004A6B79">
        <w:t xml:space="preserve"> </w:t>
      </w:r>
      <w:r w:rsidR="00F108D0">
        <w:t>because the man had been sent to him for a ‘cure’ for his homosexuality;</w:t>
      </w:r>
      <w:r w:rsidR="003566D4">
        <w:rPr>
          <w:rStyle w:val="FootnoteReference"/>
        </w:rPr>
        <w:footnoteReference w:id="13"/>
      </w:r>
    </w:p>
    <w:p w14:paraId="28E3C526" w14:textId="1A76E4E7" w:rsidR="00280E2A" w:rsidRDefault="00280E2A" w:rsidP="00280E2A">
      <w:pPr>
        <w:pStyle w:val="Bullet"/>
      </w:pPr>
      <w:r>
        <w:t>in 2010, a psychologist and charismatic Christian was deregistered for referring to religious material invoking Satanic abuse and supernatural events in his treatment of two women who each suffered from mental illness;</w:t>
      </w:r>
      <w:r>
        <w:rPr>
          <w:rStyle w:val="FootnoteReference"/>
        </w:rPr>
        <w:footnoteReference w:id="14"/>
      </w:r>
    </w:p>
    <w:p w14:paraId="450EF8C1" w14:textId="11A67ECC" w:rsidR="00280E2A" w:rsidRDefault="00280E2A" w:rsidP="00280E2A">
      <w:pPr>
        <w:pStyle w:val="Bullet"/>
      </w:pPr>
      <w:r>
        <w:t xml:space="preserve">in 2007, a dentist and </w:t>
      </w:r>
      <w:r w:rsidRPr="00280E2A">
        <w:t>devout</w:t>
      </w:r>
      <w:r>
        <w:t xml:space="preserve"> Christian was counselled for telling a patient that she was oppressed by </w:t>
      </w:r>
      <w:r w:rsidRPr="00CE391A">
        <w:rPr>
          <w:i/>
          <w:iCs/>
        </w:rPr>
        <w:t>‘sprits of fear’</w:t>
      </w:r>
      <w:r>
        <w:t xml:space="preserve"> and that spiritual healing could heal her schizophrenia;</w:t>
      </w:r>
      <w:r w:rsidR="001D3FC7">
        <w:rPr>
          <w:rStyle w:val="FootnoteReference"/>
        </w:rPr>
        <w:footnoteReference w:id="15"/>
      </w:r>
    </w:p>
    <w:p w14:paraId="3C17E9F8" w14:textId="63D71925" w:rsidR="00D169C0" w:rsidRDefault="00280E2A" w:rsidP="003566D4">
      <w:pPr>
        <w:pStyle w:val="Bullet"/>
      </w:pPr>
      <w:r>
        <w:t>in 2005, a doctor and Born-Again Christian had restrictions placed on his licence to practice for requiring his patients to subscribe to ‘Biblical Meditation’ as a condition for treating their drug addictions and dependencies</w:t>
      </w:r>
      <w:r w:rsidR="00D169C0">
        <w:t>;</w:t>
      </w:r>
      <w:r w:rsidR="001D3FC7">
        <w:rPr>
          <w:rStyle w:val="FootnoteReference"/>
        </w:rPr>
        <w:footnoteReference w:id="16"/>
      </w:r>
    </w:p>
    <w:p w14:paraId="4DEC8226" w14:textId="2F1354A4" w:rsidR="00D169C0" w:rsidRDefault="00D169C0" w:rsidP="003566D4">
      <w:pPr>
        <w:pStyle w:val="Bullet"/>
      </w:pPr>
      <w:r>
        <w:t>in 2005</w:t>
      </w:r>
      <w:r w:rsidR="00784DDF">
        <w:t xml:space="preserve">, a psychologist </w:t>
      </w:r>
      <w:r w:rsidR="00CF14CF">
        <w:t xml:space="preserve">was </w:t>
      </w:r>
      <w:r w:rsidR="00FC54BD">
        <w:t xml:space="preserve">found to have engaged in misconduct </w:t>
      </w:r>
      <w:r w:rsidR="00A82233">
        <w:t xml:space="preserve">for, among other things, </w:t>
      </w:r>
      <w:r w:rsidR="00542C2E">
        <w:t>selling or loaning religious books to his patient</w:t>
      </w:r>
      <w:r w:rsidR="00050BAA">
        <w:t>,</w:t>
      </w:r>
      <w:r w:rsidR="002A5EE3">
        <w:t xml:space="preserve"> </w:t>
      </w:r>
      <w:r w:rsidR="00E3042C">
        <w:t>attending a</w:t>
      </w:r>
      <w:r w:rsidR="001E5604">
        <w:t>n interstate</w:t>
      </w:r>
      <w:r w:rsidR="00E3042C">
        <w:t xml:space="preserve"> religious </w:t>
      </w:r>
      <w:r w:rsidR="00542C2E">
        <w:t>conference with his patient</w:t>
      </w:r>
      <w:r w:rsidR="00050BAA">
        <w:t xml:space="preserve">, and sending his patient (who ultimately </w:t>
      </w:r>
      <w:r w:rsidR="008C2328">
        <w:t xml:space="preserve">committed suicide) to a priest when his </w:t>
      </w:r>
      <w:r w:rsidR="0075775F" w:rsidRPr="0075775F">
        <w:t>patient became more aggressive and agitated and reported to the psychologist that he was “talking to saints”.</w:t>
      </w:r>
      <w:r w:rsidR="00A92ACB">
        <w:rPr>
          <w:rStyle w:val="FootnoteReference"/>
        </w:rPr>
        <w:footnoteReference w:id="17"/>
      </w:r>
    </w:p>
    <w:p w14:paraId="0351829A" w14:textId="04694710" w:rsidR="00280E2A" w:rsidRDefault="003566D4" w:rsidP="00D169C0">
      <w:r>
        <w:t xml:space="preserve">Some of the </w:t>
      </w:r>
      <w:r w:rsidR="00BE799E">
        <w:t xml:space="preserve">misconduct highlighted above occurred outside </w:t>
      </w:r>
      <w:r w:rsidR="001218BA">
        <w:t>traditional occupational settings, and a feature of some of these cases has been the inability of the professional involved to maintain professional</w:t>
      </w:r>
      <w:r w:rsidR="00A92ACB">
        <w:t xml:space="preserve"> boundaries, instead </w:t>
      </w:r>
      <w:r w:rsidR="00A92ACB">
        <w:lastRenderedPageBreak/>
        <w:t>allowing their religious views to interfere in the care they provide to their patients</w:t>
      </w:r>
      <w:r w:rsidR="001218BA">
        <w:t xml:space="preserve">.  Any provision that would </w:t>
      </w:r>
      <w:r w:rsidR="00A92ACB">
        <w:t>create</w:t>
      </w:r>
      <w:r w:rsidR="001218BA">
        <w:t xml:space="preserve"> barriers to qualifying bodies </w:t>
      </w:r>
      <w:proofErr w:type="gramStart"/>
      <w:r w:rsidR="001218BA">
        <w:t>taking into account</w:t>
      </w:r>
      <w:proofErr w:type="gramEnd"/>
      <w:r w:rsidR="001218BA">
        <w:t xml:space="preserve"> </w:t>
      </w:r>
      <w:r w:rsidR="008244FB">
        <w:t>misconduct</w:t>
      </w:r>
      <w:r w:rsidR="00A92ACB">
        <w:t xml:space="preserve"> or the propensity for misconduct</w:t>
      </w:r>
      <w:r w:rsidR="008244FB">
        <w:t>, whether motivated by religious belief or not, should be opposed.</w:t>
      </w:r>
    </w:p>
    <w:p w14:paraId="68AECB74" w14:textId="10B077C1" w:rsidR="008B6102" w:rsidRDefault="008B6102" w:rsidP="008B6102">
      <w:pPr>
        <w:pStyle w:val="Heading2"/>
      </w:pPr>
      <w:bookmarkStart w:id="8" w:name="_Toc48921250"/>
      <w:r>
        <w:t>The no consequences for conduct provisions are unnecessary</w:t>
      </w:r>
      <w:bookmarkEnd w:id="8"/>
    </w:p>
    <w:p w14:paraId="345A095A" w14:textId="701FB0ED" w:rsidR="00736971" w:rsidRDefault="004C089E" w:rsidP="00A50C8E">
      <w:r>
        <w:t>The no consequences for conduct provisions are simply unnecessary.  E</w:t>
      </w:r>
      <w:r w:rsidR="003D0D73">
        <w:t>ven w</w:t>
      </w:r>
      <w:r w:rsidR="00F96806">
        <w:t xml:space="preserve">ithout </w:t>
      </w:r>
      <w:r w:rsidR="00A92ACB">
        <w:t>these</w:t>
      </w:r>
      <w:r w:rsidR="00F96806">
        <w:t xml:space="preserve"> provisions, employers, </w:t>
      </w:r>
      <w:r w:rsidR="003D0D73">
        <w:t>educational institutions</w:t>
      </w:r>
      <w:r w:rsidR="00F96806">
        <w:t xml:space="preserve"> and qualifying bodies would still be prevented from </w:t>
      </w:r>
      <w:r w:rsidR="00897B28">
        <w:t xml:space="preserve">unreasonably </w:t>
      </w:r>
      <w:r w:rsidR="00F96806">
        <w:t xml:space="preserve">limiting </w:t>
      </w:r>
      <w:r w:rsidR="004202E1">
        <w:t>the religious expression of their employees, students and members</w:t>
      </w:r>
      <w:r w:rsidR="00897B28">
        <w:t>, whether inside or outside workplace</w:t>
      </w:r>
      <w:r w:rsidR="00342206">
        <w:t xml:space="preserve"> and educational settings</w:t>
      </w:r>
      <w:r w:rsidR="004202E1">
        <w:t xml:space="preserve">.  This is because the standard tests for religious discrimination would apply.  These tests prohibit </w:t>
      </w:r>
      <w:r w:rsidR="00736971">
        <w:t xml:space="preserve">an employer, educational </w:t>
      </w:r>
      <w:proofErr w:type="gramStart"/>
      <w:r w:rsidR="00736971">
        <w:t>institution</w:t>
      </w:r>
      <w:proofErr w:type="gramEnd"/>
      <w:r w:rsidR="00736971">
        <w:t xml:space="preserve"> or qualifying body from discriminating </w:t>
      </w:r>
      <w:r w:rsidR="003B15B8">
        <w:t xml:space="preserve">against someone </w:t>
      </w:r>
      <w:r w:rsidR="00736971">
        <w:t>by</w:t>
      </w:r>
      <w:r w:rsidR="00A50C8E">
        <w:t xml:space="preserve"> </w:t>
      </w:r>
      <w:r w:rsidR="00322D3D">
        <w:t>imposing a</w:t>
      </w:r>
      <w:r w:rsidR="003B15B8">
        <w:t>n</w:t>
      </w:r>
      <w:r w:rsidR="00322D3D">
        <w:t xml:space="preserve"> </w:t>
      </w:r>
      <w:r w:rsidR="003B15B8">
        <w:t xml:space="preserve">unreasonable </w:t>
      </w:r>
      <w:r w:rsidR="00322D3D">
        <w:t xml:space="preserve">requirement which </w:t>
      </w:r>
      <w:r w:rsidR="00342206">
        <w:t>has</w:t>
      </w:r>
      <w:r w:rsidR="00322D3D">
        <w:t xml:space="preserve"> the effect of disadvantaging </w:t>
      </w:r>
      <w:r w:rsidR="003B15B8">
        <w:t>persons of a particular faith</w:t>
      </w:r>
      <w:r w:rsidR="00322D3D">
        <w:t>.  So,</w:t>
      </w:r>
      <w:r w:rsidR="00E029C7">
        <w:t xml:space="preserve"> for example, an employer that sought to limit an employee expressing </w:t>
      </w:r>
      <w:r w:rsidR="000E623F">
        <w:t xml:space="preserve">their </w:t>
      </w:r>
      <w:r w:rsidR="00E029C7">
        <w:t>religious views outside the workplace</w:t>
      </w:r>
      <w:r w:rsidR="000E623F">
        <w:t xml:space="preserve">, particularly </w:t>
      </w:r>
      <w:r w:rsidR="003D0D73">
        <w:t xml:space="preserve">in circumstances where that expression </w:t>
      </w:r>
      <w:r w:rsidR="000E623F">
        <w:t>did not harm others or the business, would likely</w:t>
      </w:r>
      <w:r w:rsidR="00342206">
        <w:t xml:space="preserve"> be found</w:t>
      </w:r>
      <w:r w:rsidR="000E623F">
        <w:t xml:space="preserve"> to have</w:t>
      </w:r>
      <w:r w:rsidR="003D0D73">
        <w:t xml:space="preserve"> unlawfully discriminated against </w:t>
      </w:r>
      <w:r w:rsidR="003B15B8">
        <w:t>that</w:t>
      </w:r>
      <w:r w:rsidR="003D0D73">
        <w:t xml:space="preserve"> employee under standard discrimination protections.</w:t>
      </w:r>
      <w:r w:rsidR="003B15B8">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666091" w14:paraId="0C99C0A9" w14:textId="77777777" w:rsidTr="00D34D52">
        <w:tc>
          <w:tcPr>
            <w:tcW w:w="8871" w:type="dxa"/>
            <w:tcMar>
              <w:bottom w:w="142" w:type="dxa"/>
            </w:tcMar>
          </w:tcPr>
          <w:p w14:paraId="38A5594E" w14:textId="70CED6C5" w:rsidR="00666091" w:rsidRDefault="00630DBF" w:rsidP="00D34D52">
            <w:pPr>
              <w:pStyle w:val="Heading3"/>
              <w:outlineLvl w:val="2"/>
            </w:pPr>
            <w:r>
              <w:t xml:space="preserve">Alternative </w:t>
            </w:r>
            <w:r w:rsidR="00666091">
              <w:t>recommendation</w:t>
            </w:r>
          </w:p>
          <w:p w14:paraId="3A5FE9D1" w14:textId="3305DF32" w:rsidR="00666091" w:rsidRDefault="00A12D9E" w:rsidP="00BF215F">
            <w:pPr>
              <w:rPr>
                <w:rStyle w:val="PageNumber"/>
              </w:rPr>
            </w:pPr>
            <w:r>
              <w:t>P</w:t>
            </w:r>
            <w:r w:rsidR="00F93DFE">
              <w:t>roposed subs</w:t>
            </w:r>
            <w:r w:rsidR="008A3D5D">
              <w:t>ections 22</w:t>
            </w:r>
            <w:proofErr w:type="gramStart"/>
            <w:r w:rsidR="008A3D5D">
              <w:t>N(</w:t>
            </w:r>
            <w:proofErr w:type="gramEnd"/>
            <w:r w:rsidR="008A3D5D">
              <w:t>3)-(5), 22S(2)-(4) and 22V(3)-(5) should be removed.</w:t>
            </w:r>
          </w:p>
        </w:tc>
      </w:tr>
    </w:tbl>
    <w:p w14:paraId="10242E59" w14:textId="13E2BCAE" w:rsidR="00607AE7" w:rsidRDefault="00607AE7" w:rsidP="00607AE7">
      <w:pPr>
        <w:pStyle w:val="Heading1"/>
      </w:pPr>
      <w:bookmarkStart w:id="9" w:name="_Toc48921251"/>
      <w:r>
        <w:t>Double standards in protection</w:t>
      </w:r>
      <w:bookmarkEnd w:id="9"/>
    </w:p>
    <w:p w14:paraId="590B6C0E" w14:textId="1B3A5032" w:rsidR="00364C3C" w:rsidRDefault="1B28571C" w:rsidP="00A457F8">
      <w:pPr>
        <w:pStyle w:val="Intro"/>
      </w:pPr>
      <w:r>
        <w:t xml:space="preserve">This Bill </w:t>
      </w:r>
      <w:r w:rsidR="25A2F7AF">
        <w:t>contains</w:t>
      </w:r>
      <w:r w:rsidR="706400F5">
        <w:t xml:space="preserve"> broad</w:t>
      </w:r>
      <w:r w:rsidR="25A2F7AF">
        <w:t xml:space="preserve"> </w:t>
      </w:r>
      <w:r w:rsidR="706400F5">
        <w:t xml:space="preserve">exemptions </w:t>
      </w:r>
      <w:r w:rsidR="25A2F7AF">
        <w:t>allowing</w:t>
      </w:r>
      <w:r w:rsidR="706400F5">
        <w:t xml:space="preserve"> organisations</w:t>
      </w:r>
      <w:r w:rsidR="6541A9D6">
        <w:t xml:space="preserve"> </w:t>
      </w:r>
      <w:r w:rsidR="2785ACB5">
        <w:t>(</w:t>
      </w:r>
      <w:r w:rsidR="706400F5">
        <w:t xml:space="preserve">and </w:t>
      </w:r>
      <w:r w:rsidR="25A2F7AF">
        <w:t>possibly even</w:t>
      </w:r>
      <w:r w:rsidR="706400F5">
        <w:t xml:space="preserve"> commercial operations</w:t>
      </w:r>
      <w:r w:rsidR="2785ACB5">
        <w:t>)</w:t>
      </w:r>
      <w:r w:rsidR="706400F5">
        <w:t xml:space="preserve"> </w:t>
      </w:r>
      <w:r w:rsidR="6541A9D6">
        <w:t xml:space="preserve">which define themselves as religious </w:t>
      </w:r>
      <w:r w:rsidR="706400F5">
        <w:t xml:space="preserve">to discriminate in employment, </w:t>
      </w:r>
      <w:r w:rsidR="25A2F7AF">
        <w:t>education,</w:t>
      </w:r>
      <w:r w:rsidR="706400F5">
        <w:t xml:space="preserve"> and </w:t>
      </w:r>
      <w:r w:rsidR="25A2F7AF">
        <w:t>service provision against others with different or no beliefs.</w:t>
      </w:r>
      <w:r w:rsidR="22FCD228">
        <w:t xml:space="preserve">  </w:t>
      </w:r>
      <w:r w:rsidR="552523FB">
        <w:t>This Bill leaves</w:t>
      </w:r>
      <w:r w:rsidR="6541A9D6">
        <w:t xml:space="preserve"> </w:t>
      </w:r>
      <w:r w:rsidR="58743D89">
        <w:t>people</w:t>
      </w:r>
      <w:r w:rsidR="3557B426">
        <w:t xml:space="preserve"> </w:t>
      </w:r>
      <w:r w:rsidR="58743D89">
        <w:t>who are employed, interact with, or rely</w:t>
      </w:r>
      <w:r w:rsidR="6541A9D6">
        <w:t xml:space="preserve"> on such </w:t>
      </w:r>
      <w:r w:rsidR="58743D89">
        <w:t xml:space="preserve">organisations </w:t>
      </w:r>
      <w:r w:rsidR="434DAD14">
        <w:t>with no protection</w:t>
      </w:r>
      <w:r w:rsidR="58743D89">
        <w:t xml:space="preserve">, even when </w:t>
      </w:r>
      <w:r w:rsidR="6541A9D6">
        <w:t xml:space="preserve">religion has no relevance to the </w:t>
      </w:r>
      <w:proofErr w:type="gramStart"/>
      <w:r w:rsidR="6541A9D6">
        <w:t>role</w:t>
      </w:r>
      <w:proofErr w:type="gramEnd"/>
      <w:r w:rsidR="6541A9D6">
        <w:t xml:space="preserve"> or the service is taxpayer-funded.</w:t>
      </w:r>
    </w:p>
    <w:p w14:paraId="66C97ADB" w14:textId="05E81B1D" w:rsidR="00364C3C" w:rsidRDefault="007623F8" w:rsidP="00364C3C">
      <w:pPr>
        <w:pStyle w:val="Heading2"/>
      </w:pPr>
      <w:bookmarkStart w:id="10" w:name="_Toc48921252"/>
      <w:r>
        <w:t>‘</w:t>
      </w:r>
      <w:r w:rsidR="003D633D">
        <w:t>Religious ethos organisations</w:t>
      </w:r>
      <w:r w:rsidR="00A830BA">
        <w:t>’</w:t>
      </w:r>
      <w:r w:rsidR="00961E70">
        <w:t xml:space="preserve"> </w:t>
      </w:r>
      <w:r w:rsidR="0090379C">
        <w:t xml:space="preserve">allowed to discriminate </w:t>
      </w:r>
      <w:r w:rsidR="00961E70">
        <w:t>(s 22M)</w:t>
      </w:r>
      <w:bookmarkEnd w:id="10"/>
    </w:p>
    <w:p w14:paraId="1A2D6BA3" w14:textId="006483C1" w:rsidR="00A7114D" w:rsidRDefault="00834EAD" w:rsidP="00A7114D">
      <w:r>
        <w:t xml:space="preserve">The Bill </w:t>
      </w:r>
      <w:r w:rsidR="00337531">
        <w:t>contains</w:t>
      </w:r>
      <w:r>
        <w:t xml:space="preserve"> exemptions for ‘religious ethos organisations</w:t>
      </w:r>
      <w:r w:rsidR="00337531">
        <w:t>’</w:t>
      </w:r>
      <w:r>
        <w:t xml:space="preserve"> which leaves people with different or no beliefs vulnerable to discrimination whenever they are employed, interact with or rely on services provided by organisations</w:t>
      </w:r>
      <w:r w:rsidR="00452D18">
        <w:t xml:space="preserve"> that define themselves as religious</w:t>
      </w:r>
      <w:r>
        <w:t xml:space="preserve">, including those which receive </w:t>
      </w:r>
      <w:r w:rsidR="00DC715D">
        <w:t>taxpayer</w:t>
      </w:r>
      <w:r>
        <w:t xml:space="preserve"> funding</w:t>
      </w:r>
      <w:r w:rsidR="00DC715D">
        <w:t xml:space="preserve"> </w:t>
      </w:r>
      <w:r w:rsidR="00706CC3">
        <w:t xml:space="preserve">to deliver </w:t>
      </w:r>
      <w:r w:rsidR="001F224C">
        <w:t xml:space="preserve">their </w:t>
      </w:r>
      <w:r w:rsidR="00706CC3">
        <w:t xml:space="preserve">services </w:t>
      </w:r>
      <w:r w:rsidR="00DC715D">
        <w:t>or whe</w:t>
      </w:r>
      <w:r w:rsidR="001F224C">
        <w:t>re</w:t>
      </w:r>
      <w:r w:rsidR="00DC715D">
        <w:t xml:space="preserve"> religion has no relevance to the role being performed</w:t>
      </w:r>
      <w:r>
        <w:t>.</w:t>
      </w:r>
    </w:p>
    <w:p w14:paraId="69B6FD96" w14:textId="77777777" w:rsidR="00883059" w:rsidRDefault="001A0CDC" w:rsidP="00844278">
      <w:r>
        <w:t>Proposed s</w:t>
      </w:r>
      <w:r w:rsidR="00844278">
        <w:t>ection 22M provides a broad exemption to ‘religious ethos organisations</w:t>
      </w:r>
      <w:r w:rsidR="00502EC6">
        <w:t xml:space="preserve">’ allowing them to discriminate </w:t>
      </w:r>
      <w:proofErr w:type="gramStart"/>
      <w:r w:rsidR="00502EC6">
        <w:t>on the basis of</w:t>
      </w:r>
      <w:proofErr w:type="gramEnd"/>
      <w:r w:rsidR="00502EC6">
        <w:t xml:space="preserve"> a person’s religious beliefs or religious activities</w:t>
      </w:r>
      <w:r w:rsidR="006C4BEC">
        <w:t xml:space="preserve"> across all </w:t>
      </w:r>
      <w:r w:rsidR="001B798F">
        <w:t xml:space="preserve">protected </w:t>
      </w:r>
      <w:r w:rsidR="006C4BEC">
        <w:t>areas</w:t>
      </w:r>
      <w:r w:rsidR="001B798F">
        <w:t xml:space="preserve">, </w:t>
      </w:r>
      <w:r w:rsidR="00E204EA">
        <w:t>including</w:t>
      </w:r>
      <w:r w:rsidR="001B798F">
        <w:t xml:space="preserve"> employment</w:t>
      </w:r>
      <w:r w:rsidR="006B0297">
        <w:t>, education</w:t>
      </w:r>
      <w:r w:rsidR="001B798F">
        <w:t xml:space="preserve"> and</w:t>
      </w:r>
      <w:r w:rsidR="006B0297">
        <w:t xml:space="preserve"> in</w:t>
      </w:r>
      <w:r w:rsidR="001B798F">
        <w:t xml:space="preserve"> the provision of goods and services</w:t>
      </w:r>
      <w:r w:rsidR="00AB709A">
        <w:t xml:space="preserve">.  </w:t>
      </w:r>
    </w:p>
    <w:p w14:paraId="036AACF1" w14:textId="04D42B56" w:rsidR="006B0297" w:rsidRDefault="006B0297" w:rsidP="005F6F91">
      <w:pPr>
        <w:keepNext/>
      </w:pPr>
      <w:r>
        <w:t>For example</w:t>
      </w:r>
      <w:r w:rsidR="005639A0">
        <w:t xml:space="preserve">, it would </w:t>
      </w:r>
      <w:r w:rsidR="00CC0713">
        <w:t>never</w:t>
      </w:r>
      <w:r w:rsidR="005639A0">
        <w:t xml:space="preserve"> be religious discrimination</w:t>
      </w:r>
      <w:r w:rsidR="004817D1">
        <w:t xml:space="preserve"> under this Bill</w:t>
      </w:r>
      <w:r w:rsidR="005639A0">
        <w:t>:</w:t>
      </w:r>
    </w:p>
    <w:p w14:paraId="0E592F1C" w14:textId="77B381F4" w:rsidR="006B0297" w:rsidRDefault="00221690" w:rsidP="006B0297">
      <w:pPr>
        <w:pStyle w:val="Bullet"/>
      </w:pPr>
      <w:r>
        <w:t>for a school</w:t>
      </w:r>
      <w:r w:rsidR="004817D1">
        <w:t xml:space="preserve"> which defines itself as religious</w:t>
      </w:r>
      <w:r>
        <w:t xml:space="preserve"> to require </w:t>
      </w:r>
      <w:r w:rsidR="00883059">
        <w:t xml:space="preserve">its </w:t>
      </w:r>
      <w:r>
        <w:t xml:space="preserve">students to </w:t>
      </w:r>
      <w:r w:rsidR="00883059">
        <w:t xml:space="preserve">remove any facial hair which contradicts religious </w:t>
      </w:r>
      <w:r w:rsidR="00C12052">
        <w:t>dress requirements</w:t>
      </w:r>
      <w:r w:rsidR="00D75D54">
        <w:t xml:space="preserve"> or to require students to participate in sporting activities on </w:t>
      </w:r>
      <w:r w:rsidR="004817D1">
        <w:t>a religious holiday</w:t>
      </w:r>
      <w:r w:rsidR="00C12052">
        <w:t>;</w:t>
      </w:r>
    </w:p>
    <w:p w14:paraId="59B2873E" w14:textId="56C51ED0" w:rsidR="00C12052" w:rsidRDefault="00C12052" w:rsidP="006B0297">
      <w:pPr>
        <w:pStyle w:val="Bullet"/>
      </w:pPr>
      <w:r>
        <w:t>for a charity</w:t>
      </w:r>
      <w:r w:rsidR="004817D1">
        <w:t xml:space="preserve"> which defines itself as religious</w:t>
      </w:r>
      <w:r>
        <w:t xml:space="preserve"> to strongly encourage</w:t>
      </w:r>
      <w:r w:rsidR="00FA2F23">
        <w:t xml:space="preserve"> its</w:t>
      </w:r>
      <w:r>
        <w:t xml:space="preserve"> homeless </w:t>
      </w:r>
      <w:r w:rsidR="00FA2F23">
        <w:t>clients</w:t>
      </w:r>
      <w:r>
        <w:t xml:space="preserve"> to </w:t>
      </w:r>
      <w:r w:rsidR="00EC57F5">
        <w:t xml:space="preserve">attend </w:t>
      </w:r>
      <w:r w:rsidR="00B1581B">
        <w:t xml:space="preserve">religious activities </w:t>
      </w:r>
      <w:r w:rsidR="00FC34C2">
        <w:t xml:space="preserve">in order to </w:t>
      </w:r>
      <w:r w:rsidR="00FA2F23">
        <w:t>access</w:t>
      </w:r>
      <w:r w:rsidR="00F461FB">
        <w:t xml:space="preserve"> their</w:t>
      </w:r>
      <w:r w:rsidR="00FA2F23">
        <w:t xml:space="preserve"> meals;</w:t>
      </w:r>
    </w:p>
    <w:p w14:paraId="01A521A0" w14:textId="03F4D232" w:rsidR="00FA2F23" w:rsidRDefault="00F461FB" w:rsidP="006B0297">
      <w:pPr>
        <w:pStyle w:val="Bullet"/>
      </w:pPr>
      <w:r>
        <w:t xml:space="preserve">for a </w:t>
      </w:r>
      <w:r w:rsidR="00B4131A">
        <w:t xml:space="preserve">hospital </w:t>
      </w:r>
      <w:r w:rsidR="004817D1">
        <w:t xml:space="preserve">which defines itself as religious </w:t>
      </w:r>
      <w:r w:rsidR="00B4131A">
        <w:t xml:space="preserve">to </w:t>
      </w:r>
      <w:r w:rsidR="0061624F">
        <w:t>refuse employment to a doctor, nurse or</w:t>
      </w:r>
      <w:r w:rsidR="00D1425B">
        <w:t xml:space="preserve"> potential</w:t>
      </w:r>
      <w:r w:rsidR="0061624F">
        <w:t xml:space="preserve"> member of </w:t>
      </w:r>
      <w:r w:rsidR="000A2374">
        <w:t xml:space="preserve">their </w:t>
      </w:r>
      <w:r w:rsidR="0061624F">
        <w:t>administration</w:t>
      </w:r>
      <w:r w:rsidR="004817D1">
        <w:t xml:space="preserve"> with a different religion or no religion at all</w:t>
      </w:r>
      <w:r w:rsidR="0061624F">
        <w:t>.</w:t>
      </w:r>
    </w:p>
    <w:p w14:paraId="4E572269" w14:textId="2C54FF31" w:rsidR="00FC6BB3" w:rsidRDefault="000E3629" w:rsidP="00FC6BB3">
      <w:pPr>
        <w:pStyle w:val="Heading2"/>
      </w:pPr>
      <w:bookmarkStart w:id="11" w:name="_Ref48746613"/>
      <w:bookmarkStart w:id="12" w:name="_Ref48746617"/>
      <w:bookmarkStart w:id="13" w:name="_Toc48921253"/>
      <w:r>
        <w:lastRenderedPageBreak/>
        <w:t>A</w:t>
      </w:r>
      <w:r w:rsidR="00FC6BB3">
        <w:t xml:space="preserve"> fatal flaw </w:t>
      </w:r>
      <w:r>
        <w:t>of</w:t>
      </w:r>
      <w:r w:rsidR="00FC6BB3">
        <w:t xml:space="preserve"> th</w:t>
      </w:r>
      <w:r>
        <w:t>e</w:t>
      </w:r>
      <w:r w:rsidR="00FC6BB3">
        <w:t xml:space="preserve"> Bill</w:t>
      </w:r>
      <w:bookmarkEnd w:id="11"/>
      <w:bookmarkEnd w:id="12"/>
      <w:bookmarkEnd w:id="13"/>
    </w:p>
    <w:p w14:paraId="4AB06C83" w14:textId="05DEC5CE" w:rsidR="00E32796" w:rsidRDefault="00EA0208" w:rsidP="00844278">
      <w:r>
        <w:t>This</w:t>
      </w:r>
      <w:r w:rsidR="00E32796">
        <w:t xml:space="preserve"> exemption</w:t>
      </w:r>
      <w:r>
        <w:t xml:space="preserve"> is</w:t>
      </w:r>
      <w:r w:rsidR="00E32796">
        <w:t xml:space="preserve"> </w:t>
      </w:r>
      <w:r w:rsidR="001B798F">
        <w:t xml:space="preserve">much wider than </w:t>
      </w:r>
      <w:r w:rsidR="005E7BC2">
        <w:t xml:space="preserve">comparable religious exemptions under </w:t>
      </w:r>
      <w:r w:rsidR="00C478D7">
        <w:t>other Australian anti-discrimination laws</w:t>
      </w:r>
      <w:r w:rsidR="001B798F">
        <w:t xml:space="preserve"> (including under the religious bodies exemption </w:t>
      </w:r>
      <w:r w:rsidR="00E204EA">
        <w:t xml:space="preserve">in </w:t>
      </w:r>
      <w:r w:rsidR="001B798F">
        <w:t xml:space="preserve">section 56 of the </w:t>
      </w:r>
      <w:r w:rsidR="0008590A">
        <w:t>ADA</w:t>
      </w:r>
      <w:r w:rsidR="001B798F">
        <w:t>)</w:t>
      </w:r>
      <w:r w:rsidR="00DA1C13">
        <w:t xml:space="preserve"> for </w:t>
      </w:r>
      <w:proofErr w:type="gramStart"/>
      <w:r w:rsidR="00DA1C13">
        <w:t>a number of</w:t>
      </w:r>
      <w:proofErr w:type="gramEnd"/>
      <w:r w:rsidR="00DA1C13">
        <w:t xml:space="preserve"> reasons, including</w:t>
      </w:r>
      <w:r w:rsidR="00717CBE">
        <w:t>:</w:t>
      </w:r>
    </w:p>
    <w:p w14:paraId="0627F05B" w14:textId="08735827" w:rsidR="00834EAD" w:rsidRDefault="00DA1C13" w:rsidP="00C478D7">
      <w:pPr>
        <w:pStyle w:val="Bullet"/>
      </w:pPr>
      <w:r>
        <w:t xml:space="preserve">it </w:t>
      </w:r>
      <w:r w:rsidR="00961E70">
        <w:t>d</w:t>
      </w:r>
      <w:r w:rsidR="000647FB">
        <w:t>efine</w:t>
      </w:r>
      <w:r w:rsidR="00961E70">
        <w:t>s ‘religious ethos organisations’</w:t>
      </w:r>
      <w:r w:rsidR="000647FB">
        <w:t xml:space="preserve"> broadly to include </w:t>
      </w:r>
      <w:r w:rsidR="000647FB" w:rsidRPr="00745F67">
        <w:rPr>
          <w:i/>
          <w:iCs/>
        </w:rPr>
        <w:t>‘</w:t>
      </w:r>
      <w:r w:rsidR="000647FB" w:rsidRPr="00A830BA">
        <w:rPr>
          <w:i/>
          <w:iCs/>
          <w:u w:val="single"/>
        </w:rPr>
        <w:t>any</w:t>
      </w:r>
      <w:r w:rsidR="00E64B34" w:rsidRPr="00A830BA">
        <w:rPr>
          <w:i/>
          <w:iCs/>
          <w:u w:val="single"/>
        </w:rPr>
        <w:t xml:space="preserve"> other</w:t>
      </w:r>
      <w:r w:rsidR="000647FB" w:rsidRPr="00A830BA">
        <w:rPr>
          <w:i/>
          <w:iCs/>
          <w:u w:val="single"/>
        </w:rPr>
        <w:t xml:space="preserve"> body</w:t>
      </w:r>
      <w:r w:rsidR="000647FB" w:rsidRPr="00745F67">
        <w:rPr>
          <w:i/>
          <w:iCs/>
        </w:rPr>
        <w:t xml:space="preserve"> that is conducted in accordance with the doctrines, tenets, beliefs or teachings of a particular religion’</w:t>
      </w:r>
      <w:r w:rsidR="000647FB">
        <w:t>.</w:t>
      </w:r>
      <w:r w:rsidR="000647FB">
        <w:rPr>
          <w:rStyle w:val="FootnoteReference"/>
        </w:rPr>
        <w:footnoteReference w:id="18"/>
      </w:r>
      <w:r w:rsidR="000647FB">
        <w:t xml:space="preserve"> </w:t>
      </w:r>
      <w:r w:rsidR="00D858A1">
        <w:t xml:space="preserve"> </w:t>
      </w:r>
      <w:r w:rsidR="001B798F">
        <w:t xml:space="preserve">This </w:t>
      </w:r>
      <w:r w:rsidR="00A90B64">
        <w:t xml:space="preserve">definition </w:t>
      </w:r>
      <w:r w:rsidR="001F224C">
        <w:t xml:space="preserve">appears to allow </w:t>
      </w:r>
      <w:r w:rsidR="00D858A1">
        <w:t>any legal body</w:t>
      </w:r>
      <w:r w:rsidR="00476111">
        <w:t>,</w:t>
      </w:r>
      <w:r w:rsidR="00D858A1">
        <w:t xml:space="preserve"> including a </w:t>
      </w:r>
      <w:r w:rsidR="00A90B64">
        <w:t xml:space="preserve">commercial </w:t>
      </w:r>
      <w:r w:rsidR="00E64B34">
        <w:t>entity</w:t>
      </w:r>
      <w:r w:rsidR="00A90B64">
        <w:t xml:space="preserve"> (such as a baker, butcher or bookshop)</w:t>
      </w:r>
      <w:r w:rsidR="00476111">
        <w:t>,</w:t>
      </w:r>
      <w:r w:rsidR="00A90B64">
        <w:t xml:space="preserve"> </w:t>
      </w:r>
      <w:r w:rsidR="001F224C">
        <w:t>to</w:t>
      </w:r>
      <w:r w:rsidR="00A90B64">
        <w:t xml:space="preserve"> </w:t>
      </w:r>
      <w:r w:rsidR="00D6527B">
        <w:t xml:space="preserve">exempt itself from </w:t>
      </w:r>
      <w:r w:rsidR="00EB4CEC">
        <w:t xml:space="preserve">these </w:t>
      </w:r>
      <w:r w:rsidR="00D6527B">
        <w:t xml:space="preserve">anti-discrimination protections by </w:t>
      </w:r>
      <w:r w:rsidR="00124778">
        <w:t xml:space="preserve">simply </w:t>
      </w:r>
      <w:r w:rsidR="00E64B34">
        <w:t xml:space="preserve">defining itself </w:t>
      </w:r>
      <w:r w:rsidR="00B57E33">
        <w:t xml:space="preserve">as being conducted </w:t>
      </w:r>
      <w:r w:rsidR="00F7252D">
        <w:t>in accordance with</w:t>
      </w:r>
      <w:r w:rsidR="0037546C">
        <w:t xml:space="preserve"> </w:t>
      </w:r>
      <w:r w:rsidR="006212F4">
        <w:t>a</w:t>
      </w:r>
      <w:r w:rsidR="00F7252D">
        <w:t xml:space="preserve"> </w:t>
      </w:r>
      <w:r w:rsidR="0037546C">
        <w:t>religion</w:t>
      </w:r>
      <w:r w:rsidR="00F7252D">
        <w:t xml:space="preserve">.  For example, a </w:t>
      </w:r>
      <w:r w:rsidR="00005180">
        <w:t>‘Christian</w:t>
      </w:r>
      <w:r w:rsidR="00F7252D">
        <w:t xml:space="preserve"> </w:t>
      </w:r>
      <w:r w:rsidR="00F20BF4">
        <w:t>catering company</w:t>
      </w:r>
      <w:r w:rsidR="00005180">
        <w:t>’</w:t>
      </w:r>
      <w:r w:rsidR="00B81AA9">
        <w:t xml:space="preserve"> could refuse to </w:t>
      </w:r>
      <w:r w:rsidR="00F20BF4">
        <w:t xml:space="preserve">cater </w:t>
      </w:r>
      <w:r w:rsidR="00DF7946">
        <w:t>for the wedding of a</w:t>
      </w:r>
      <w:r w:rsidR="00111F74">
        <w:t xml:space="preserve"> Muslim</w:t>
      </w:r>
      <w:r w:rsidR="00DF7946">
        <w:t xml:space="preserve"> couple</w:t>
      </w:r>
      <w:r w:rsidR="00A830BA">
        <w:t>,</w:t>
      </w:r>
      <w:r w:rsidR="00111F74">
        <w:t xml:space="preserve"> and</w:t>
      </w:r>
      <w:r w:rsidR="00780907">
        <w:t xml:space="preserve"> a </w:t>
      </w:r>
      <w:r w:rsidR="00005180">
        <w:t>‘</w:t>
      </w:r>
      <w:r w:rsidR="00780907">
        <w:t>Muslim</w:t>
      </w:r>
      <w:r w:rsidR="00005180">
        <w:t xml:space="preserve"> </w:t>
      </w:r>
      <w:r w:rsidR="00254E1C">
        <w:t>reception venue</w:t>
      </w:r>
      <w:r w:rsidR="00005180">
        <w:t>’</w:t>
      </w:r>
      <w:r w:rsidR="00254E1C">
        <w:t xml:space="preserve"> </w:t>
      </w:r>
      <w:r w:rsidR="00780907">
        <w:t xml:space="preserve">could refuse to </w:t>
      </w:r>
      <w:r w:rsidR="00254E1C">
        <w:t>hire</w:t>
      </w:r>
      <w:r w:rsidR="00EB4CEC">
        <w:t xml:space="preserve"> out</w:t>
      </w:r>
      <w:r w:rsidR="00254E1C">
        <w:t xml:space="preserve"> </w:t>
      </w:r>
      <w:r w:rsidR="0094353E">
        <w:t xml:space="preserve">its venue to a couple </w:t>
      </w:r>
      <w:r w:rsidR="00A830BA">
        <w:t xml:space="preserve">that </w:t>
      </w:r>
      <w:r w:rsidR="00111F74">
        <w:t>refused to observe halal dietary practices</w:t>
      </w:r>
      <w:r w:rsidR="00A830BA">
        <w:t xml:space="preserve"> when catering for the reception</w:t>
      </w:r>
      <w:r w:rsidR="006212F4">
        <w:t>;</w:t>
      </w:r>
    </w:p>
    <w:p w14:paraId="580035AE" w14:textId="42F7536D" w:rsidR="001D0AD6" w:rsidRDefault="001D0AD6" w:rsidP="00C478D7">
      <w:pPr>
        <w:pStyle w:val="Bullet"/>
      </w:pPr>
      <w:r>
        <w:t xml:space="preserve">it allows an organisation to discriminate on the basis of religious belief or activity merely if it </w:t>
      </w:r>
      <w:r w:rsidRPr="3B859BCD">
        <w:rPr>
          <w:i/>
          <w:iCs/>
        </w:rPr>
        <w:t>‘furthers or aids the organisation in acting in accordance with the doctrines, tenets, beliefs or teachings of the religion of the organisation’</w:t>
      </w:r>
      <w:r>
        <w:t>.</w:t>
      </w:r>
      <w:r>
        <w:rPr>
          <w:rStyle w:val="FootnoteReference"/>
        </w:rPr>
        <w:footnoteReference w:id="19"/>
      </w:r>
      <w:r>
        <w:t xml:space="preserve">  This circular provision means that an</w:t>
      </w:r>
      <w:r w:rsidR="00F06E27">
        <w:t>y legal body</w:t>
      </w:r>
      <w:r>
        <w:t xml:space="preserve"> can define </w:t>
      </w:r>
      <w:r w:rsidR="00F06E27">
        <w:t xml:space="preserve">itself as religious, </w:t>
      </w:r>
      <w:r w:rsidR="002A2115">
        <w:t>adopt to its own</w:t>
      </w:r>
      <w:r>
        <w:t xml:space="preserve"> doctrines, tenets, beliefs or teachings</w:t>
      </w:r>
      <w:r w:rsidR="002A2115">
        <w:t xml:space="preserve">, and is then allowed to </w:t>
      </w:r>
      <w:r>
        <w:t>discriminat</w:t>
      </w:r>
      <w:r w:rsidR="002A2115">
        <w:t>e</w:t>
      </w:r>
      <w:r>
        <w:t xml:space="preserve"> against others with different or no beliefs</w:t>
      </w:r>
      <w:r w:rsidR="00491C4D">
        <w:t xml:space="preserve"> merely if it </w:t>
      </w:r>
      <w:r w:rsidR="00491C4D" w:rsidRPr="3B859BCD">
        <w:rPr>
          <w:i/>
          <w:iCs/>
        </w:rPr>
        <w:t>‘furthers or aids’</w:t>
      </w:r>
      <w:r w:rsidR="00491C4D">
        <w:t xml:space="preserve"> the organisation</w:t>
      </w:r>
      <w:r w:rsidR="005217F6">
        <w:t xml:space="preserve">’s self-defined </w:t>
      </w:r>
      <w:r w:rsidR="00E20AB8">
        <w:t>religion</w:t>
      </w:r>
      <w:r>
        <w:t>.</w:t>
      </w:r>
      <w:r w:rsidR="005217F6">
        <w:t xml:space="preserve">  ‘Religious ethos organisations’ do not have to prove </w:t>
      </w:r>
      <w:r w:rsidR="00DE2A9C">
        <w:t xml:space="preserve">that their </w:t>
      </w:r>
      <w:r w:rsidR="00B66544">
        <w:t xml:space="preserve">religious </w:t>
      </w:r>
      <w:r w:rsidR="00DE2A9C">
        <w:t xml:space="preserve">beliefs are accepted by </w:t>
      </w:r>
      <w:r w:rsidR="00B66544">
        <w:t xml:space="preserve">anyone but themselves, as the Bill simply </w:t>
      </w:r>
      <w:r w:rsidR="00080E54">
        <w:t>protects beliefs based on a ‘sincerity test’.</w:t>
      </w:r>
      <w:r w:rsidR="00080E54">
        <w:rPr>
          <w:rStyle w:val="FootnoteReference"/>
        </w:rPr>
        <w:footnoteReference w:id="20"/>
      </w:r>
    </w:p>
    <w:p w14:paraId="4B0C87A5" w14:textId="1F55D417" w:rsidR="004B4479" w:rsidRDefault="0021324F" w:rsidP="004B4479">
      <w:r>
        <w:t>This</w:t>
      </w:r>
      <w:r w:rsidR="004B4479">
        <w:t xml:space="preserve"> heavy-handed exemption</w:t>
      </w:r>
      <w:r>
        <w:t xml:space="preserve"> is</w:t>
      </w:r>
      <w:r w:rsidR="004B4479">
        <w:t xml:space="preserve"> unnecessary and undermine</w:t>
      </w:r>
      <w:r>
        <w:t>s</w:t>
      </w:r>
      <w:r w:rsidR="004B4479">
        <w:t xml:space="preserve"> the </w:t>
      </w:r>
      <w:r w:rsidR="007C2C8E">
        <w:t>purported purpose of the Bill.</w:t>
      </w:r>
      <w:r w:rsidR="00C03F55">
        <w:t xml:space="preserve">  </w:t>
      </w:r>
      <w:r>
        <w:t xml:space="preserve">It is </w:t>
      </w:r>
      <w:r w:rsidR="00C03F55">
        <w:t>in addition to</w:t>
      </w:r>
      <w:r w:rsidR="00952D29">
        <w:t>, and separate from,</w:t>
      </w:r>
      <w:r w:rsidR="00C03F55">
        <w:t xml:space="preserve"> a number of exemptions that facilitate</w:t>
      </w:r>
      <w:r w:rsidR="00861AFA">
        <w:t xml:space="preserve"> </w:t>
      </w:r>
      <w:r w:rsidR="0024177A">
        <w:t xml:space="preserve">religious </w:t>
      </w:r>
      <w:r w:rsidR="00861AFA">
        <w:t xml:space="preserve">discrimination </w:t>
      </w:r>
      <w:r w:rsidR="00A40060">
        <w:t>in employment</w:t>
      </w:r>
      <w:r w:rsidR="00861AFA">
        <w:t xml:space="preserve"> </w:t>
      </w:r>
      <w:r w:rsidR="00C15C05">
        <w:t>where</w:t>
      </w:r>
      <w:r w:rsidR="0024177A">
        <w:t xml:space="preserve"> it </w:t>
      </w:r>
      <w:r w:rsidR="0024177A" w:rsidRPr="00F92C34">
        <w:t xml:space="preserve">may </w:t>
      </w:r>
      <w:r w:rsidR="00952D29">
        <w:t xml:space="preserve">be relevant </w:t>
      </w:r>
      <w:r w:rsidR="0024177A">
        <w:t xml:space="preserve">to the job being performed, such </w:t>
      </w:r>
      <w:r w:rsidR="00952D29">
        <w:t xml:space="preserve">as </w:t>
      </w:r>
      <w:r w:rsidR="0024177A">
        <w:t xml:space="preserve">jobs requiring </w:t>
      </w:r>
      <w:r w:rsidR="00861AFA">
        <w:t xml:space="preserve">the observance of </w:t>
      </w:r>
      <w:r w:rsidR="000F0A47">
        <w:t>religious rituals and custom</w:t>
      </w:r>
      <w:r w:rsidR="008B6F20">
        <w:t xml:space="preserve">s, </w:t>
      </w:r>
      <w:r w:rsidR="00C15C05">
        <w:t xml:space="preserve">artistic roles requiring </w:t>
      </w:r>
      <w:r w:rsidR="00861AFA">
        <w:t>authenticity in</w:t>
      </w:r>
      <w:r w:rsidR="00A40060">
        <w:t xml:space="preserve"> </w:t>
      </w:r>
      <w:r w:rsidR="008B6F20">
        <w:t>performance</w:t>
      </w:r>
      <w:r w:rsidR="00A40060">
        <w:t>s</w:t>
      </w:r>
      <w:r w:rsidR="008B6F20">
        <w:t>,</w:t>
      </w:r>
      <w:r w:rsidR="00C15C05">
        <w:t xml:space="preserve"> roles requiring </w:t>
      </w:r>
      <w:r w:rsidR="0024177A">
        <w:t xml:space="preserve">the observance of </w:t>
      </w:r>
      <w:r w:rsidR="00A40060">
        <w:t>religious food and drink requirements</w:t>
      </w:r>
      <w:r w:rsidR="00EC17B3">
        <w:t xml:space="preserve">, and </w:t>
      </w:r>
      <w:r w:rsidR="00C15C05">
        <w:t xml:space="preserve">roles </w:t>
      </w:r>
      <w:r w:rsidR="00632739">
        <w:t xml:space="preserve">facilitating </w:t>
      </w:r>
      <w:r w:rsidR="00EC17B3">
        <w:t>the provision of welfare services by persons with a particular faith.</w:t>
      </w:r>
      <w:r w:rsidR="00861AFA">
        <w:rPr>
          <w:rStyle w:val="FootnoteReference"/>
        </w:rPr>
        <w:footnoteReference w:id="21"/>
      </w:r>
    </w:p>
    <w:p w14:paraId="08B73DBC" w14:textId="7190036E" w:rsidR="0021324F" w:rsidRDefault="0021324F" w:rsidP="004B4479">
      <w:r>
        <w:t xml:space="preserve">This exemption is also in addition to the already broad </w:t>
      </w:r>
      <w:r w:rsidR="00DB09C9">
        <w:t>exemption</w:t>
      </w:r>
      <w:r w:rsidR="00632739">
        <w:t xml:space="preserve"> for religious bodies</w:t>
      </w:r>
      <w:r w:rsidR="00DB09C9">
        <w:t xml:space="preserve"> in section 56, which applies across the whole of the </w:t>
      </w:r>
      <w:r w:rsidR="0008590A">
        <w:t>ADA</w:t>
      </w:r>
      <w:r w:rsidR="00DB09C9">
        <w:t>.</w:t>
      </w:r>
      <w:r w:rsidR="00DB09C9">
        <w:rPr>
          <w:rStyle w:val="FootnoteReference"/>
        </w:rPr>
        <w:footnoteReference w:id="22"/>
      </w:r>
      <w:r w:rsidR="00DB09C9">
        <w:t xml:space="preserve">  </w:t>
      </w:r>
      <w:r w:rsidR="00687589">
        <w:t>That exemption has been used, for example, by a Christian charity to exclude same-sex couples from applying to become foster carers</w:t>
      </w:r>
      <w:r w:rsidR="00A82D1F">
        <w:t>, even when that charity accepted unmarried (heterosexual) couples to do so</w:t>
      </w:r>
      <w:r w:rsidR="00370642">
        <w:t xml:space="preserve"> and received taxpayer funding to provide foster care services</w:t>
      </w:r>
      <w:r w:rsidR="00A82D1F">
        <w:t>.</w:t>
      </w:r>
      <w:r w:rsidR="00A82D1F">
        <w:rPr>
          <w:rStyle w:val="FootnoteReference"/>
        </w:rPr>
        <w:footnoteReference w:id="23"/>
      </w:r>
    </w:p>
    <w:p w14:paraId="42E96A75" w14:textId="79416B08" w:rsidR="00841935" w:rsidRDefault="00AD4232" w:rsidP="004B4479">
      <w:r>
        <w:t>Proposed s</w:t>
      </w:r>
      <w:r w:rsidR="00841935">
        <w:t xml:space="preserve">ection 22M is </w:t>
      </w:r>
      <w:r w:rsidR="000E3629">
        <w:t>a</w:t>
      </w:r>
      <w:r w:rsidR="00841935">
        <w:t xml:space="preserve"> fatal flaw </w:t>
      </w:r>
      <w:r w:rsidR="000E3629">
        <w:t>of</w:t>
      </w:r>
      <w:r w:rsidR="00841935">
        <w:t xml:space="preserve"> </w:t>
      </w:r>
      <w:r w:rsidR="00632739">
        <w:t>this</w:t>
      </w:r>
      <w:r w:rsidR="00841935">
        <w:t xml:space="preserve"> Bill.  It provides </w:t>
      </w:r>
      <w:r w:rsidR="00632739">
        <w:t>a legal loophole that allows any</w:t>
      </w:r>
      <w:r w:rsidR="00A44F1F">
        <w:t xml:space="preserve"> legal</w:t>
      </w:r>
      <w:r w:rsidR="00632739">
        <w:t xml:space="preserve"> body to define itself as religious, </w:t>
      </w:r>
      <w:r w:rsidR="00A44F1F">
        <w:t>adopt its own beliefs (which</w:t>
      </w:r>
      <w:r w:rsidR="004212D3">
        <w:t>, so long as they a</w:t>
      </w:r>
      <w:r w:rsidR="1F116483">
        <w:t>re</w:t>
      </w:r>
      <w:r w:rsidR="004212D3">
        <w:t xml:space="preserve"> ‘genuinely held’,</w:t>
      </w:r>
      <w:r w:rsidR="00AC1E7A">
        <w:rPr>
          <w:rStyle w:val="FootnoteReference"/>
        </w:rPr>
        <w:footnoteReference w:id="24"/>
      </w:r>
      <w:r w:rsidR="00A44F1F">
        <w:t xml:space="preserve"> cannot be challenged</w:t>
      </w:r>
      <w:r w:rsidR="00C62DA5">
        <w:t xml:space="preserve">), and then seek to conduct itself in </w:t>
      </w:r>
      <w:r w:rsidR="001E00F6">
        <w:t xml:space="preserve">furtherance or </w:t>
      </w:r>
      <w:r w:rsidR="00AC1E7A">
        <w:t xml:space="preserve">in </w:t>
      </w:r>
      <w:r w:rsidR="001E00F6">
        <w:t xml:space="preserve">aid of </w:t>
      </w:r>
      <w:r w:rsidR="00C62DA5">
        <w:t xml:space="preserve">those beliefs.  Accordingly, the protections afforded by this Bill for </w:t>
      </w:r>
      <w:r w:rsidR="004212D3">
        <w:t>people of faith are ephemeral: they only apply to organisations that have decided for themselves that it would be wrong to discriminate against another person because they</w:t>
      </w:r>
      <w:r w:rsidR="001E00F6">
        <w:t xml:space="preserve"> have</w:t>
      </w:r>
      <w:r w:rsidR="004212D3">
        <w:t xml:space="preserve"> different or no beliefs to their own.</w:t>
      </w:r>
      <w:r w:rsidR="0012726B">
        <w:t xml:space="preserve">  </w:t>
      </w:r>
      <w:r w:rsidR="0012726B">
        <w:lastRenderedPageBreak/>
        <w:t>What this Bill gives</w:t>
      </w:r>
      <w:r w:rsidR="00AC1E7A">
        <w:t xml:space="preserve"> to people of faith who experience discrimination</w:t>
      </w:r>
      <w:r w:rsidR="0012726B">
        <w:t xml:space="preserve"> with one hand</w:t>
      </w:r>
      <w:r w:rsidR="00AC1E7A">
        <w:t>,</w:t>
      </w:r>
      <w:r w:rsidR="0012726B">
        <w:t xml:space="preserve"> it</w:t>
      </w:r>
      <w:r w:rsidR="00344218">
        <w:t xml:space="preserve"> </w:t>
      </w:r>
      <w:r w:rsidR="0012726B">
        <w:t>allows to be taken</w:t>
      </w:r>
      <w:r w:rsidR="00AC1E7A">
        <w:t xml:space="preserve"> away</w:t>
      </w:r>
      <w:r w:rsidR="0012726B">
        <w:t xml:space="preserve"> </w:t>
      </w:r>
      <w:r w:rsidR="00344218">
        <w:t xml:space="preserve">far too easily </w:t>
      </w:r>
      <w:r w:rsidR="0012726B">
        <w:t>with another.</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CE3A94" w14:paraId="65A76278" w14:textId="77777777" w:rsidTr="00D34D52">
        <w:tc>
          <w:tcPr>
            <w:tcW w:w="8871" w:type="dxa"/>
            <w:tcMar>
              <w:bottom w:w="142" w:type="dxa"/>
            </w:tcMar>
          </w:tcPr>
          <w:p w14:paraId="3627D084" w14:textId="3A9492C1" w:rsidR="00CE3A94" w:rsidRDefault="00CE3A94" w:rsidP="00D34D52">
            <w:pPr>
              <w:pStyle w:val="Heading3"/>
              <w:outlineLvl w:val="2"/>
            </w:pPr>
            <w:r>
              <w:t>Alternative recommendation</w:t>
            </w:r>
          </w:p>
          <w:p w14:paraId="307723DB" w14:textId="3B39A9B3" w:rsidR="00CE3A94" w:rsidRDefault="00A12D9E" w:rsidP="00D34D52">
            <w:pPr>
              <w:rPr>
                <w:rStyle w:val="PageNumber"/>
              </w:rPr>
            </w:pPr>
            <w:r>
              <w:t>Proposed s</w:t>
            </w:r>
            <w:r w:rsidR="00CE3A94">
              <w:t>ection 22</w:t>
            </w:r>
            <w:r w:rsidR="00021363">
              <w:t xml:space="preserve">M </w:t>
            </w:r>
            <w:r w:rsidR="00CE3A94">
              <w:t>should be removed.</w:t>
            </w:r>
          </w:p>
        </w:tc>
      </w:tr>
    </w:tbl>
    <w:p w14:paraId="67A94683" w14:textId="64C207A2" w:rsidR="003D7100" w:rsidRDefault="00AB42C2" w:rsidP="003D7100">
      <w:pPr>
        <w:pStyle w:val="Heading2"/>
      </w:pPr>
      <w:bookmarkStart w:id="14" w:name="_Toc48921254"/>
      <w:r>
        <w:t>O</w:t>
      </w:r>
      <w:r w:rsidR="00CB2C52">
        <w:t xml:space="preserve">nly religious </w:t>
      </w:r>
      <w:r w:rsidR="00596977">
        <w:t>values</w:t>
      </w:r>
      <w:r w:rsidR="00CB2C52">
        <w:t xml:space="preserve"> matter</w:t>
      </w:r>
      <w:r w:rsidR="00A12D9E">
        <w:t xml:space="preserve"> (ss 22</w:t>
      </w:r>
      <w:proofErr w:type="gramStart"/>
      <w:r w:rsidR="00A12D9E">
        <w:t>N(</w:t>
      </w:r>
      <w:proofErr w:type="gramEnd"/>
      <w:r w:rsidR="00A12D9E">
        <w:t xml:space="preserve">9), 22S(5) and </w:t>
      </w:r>
      <w:r w:rsidR="003D791D">
        <w:t>22V(6))</w:t>
      </w:r>
      <w:bookmarkEnd w:id="14"/>
    </w:p>
    <w:p w14:paraId="64E28DBD" w14:textId="308AB8D2" w:rsidR="0033607E" w:rsidRDefault="00705C97" w:rsidP="004B4479">
      <w:r>
        <w:t xml:space="preserve">Tellingly, ‘religious ethos organisations’ are also exempt from the provisions which apply to prohibit </w:t>
      </w:r>
      <w:r w:rsidR="009B6352">
        <w:t xml:space="preserve">other employers, educational institutions and qualifying bodies from enforcing their standards of conduct outside </w:t>
      </w:r>
      <w:r w:rsidR="0033607E">
        <w:t xml:space="preserve">traditional occupational and </w:t>
      </w:r>
      <w:r w:rsidR="00836C5F">
        <w:t>educational</w:t>
      </w:r>
      <w:r w:rsidR="009B6352">
        <w:t xml:space="preserve"> </w:t>
      </w:r>
      <w:r w:rsidR="00F42AF9">
        <w:t xml:space="preserve">settings (see </w:t>
      </w:r>
      <w:r w:rsidR="0003591A">
        <w:t xml:space="preserve">section </w:t>
      </w:r>
      <w:r w:rsidR="0003591A">
        <w:rPr>
          <w:color w:val="2B579A"/>
          <w:shd w:val="clear" w:color="auto" w:fill="E6E6E6"/>
        </w:rPr>
        <w:fldChar w:fldCharType="begin"/>
      </w:r>
      <w:r w:rsidR="0003591A">
        <w:instrText xml:space="preserve"> REF _Ref48739316 \w \h </w:instrText>
      </w:r>
      <w:r w:rsidR="0003591A">
        <w:rPr>
          <w:color w:val="2B579A"/>
          <w:shd w:val="clear" w:color="auto" w:fill="E6E6E6"/>
        </w:rPr>
      </w:r>
      <w:r w:rsidR="0003591A">
        <w:rPr>
          <w:color w:val="2B579A"/>
          <w:shd w:val="clear" w:color="auto" w:fill="E6E6E6"/>
        </w:rPr>
        <w:fldChar w:fldCharType="separate"/>
      </w:r>
      <w:r w:rsidR="001E2C84">
        <w:t>1(a)</w:t>
      </w:r>
      <w:r w:rsidR="0003591A">
        <w:rPr>
          <w:color w:val="2B579A"/>
          <w:shd w:val="clear" w:color="auto" w:fill="E6E6E6"/>
        </w:rPr>
        <w:fldChar w:fldCharType="end"/>
      </w:r>
      <w:r w:rsidR="0003591A">
        <w:t xml:space="preserve">, </w:t>
      </w:r>
      <w:r w:rsidR="0003591A" w:rsidRPr="0003591A">
        <w:rPr>
          <w:i/>
          <w:iCs/>
          <w:color w:val="2B579A"/>
          <w:shd w:val="clear" w:color="auto" w:fill="E6E6E6"/>
        </w:rPr>
        <w:fldChar w:fldCharType="begin"/>
      </w:r>
      <w:r w:rsidR="0003591A" w:rsidRPr="0003591A">
        <w:rPr>
          <w:i/>
          <w:iCs/>
        </w:rPr>
        <w:instrText xml:space="preserve"> REF _Ref48739316 \h </w:instrText>
      </w:r>
      <w:r w:rsidR="0003591A">
        <w:rPr>
          <w:i/>
          <w:iCs/>
        </w:rPr>
        <w:instrText xml:space="preserve"> \* MERGEFORMAT </w:instrText>
      </w:r>
      <w:r w:rsidR="0003591A" w:rsidRPr="0003591A">
        <w:rPr>
          <w:i/>
          <w:iCs/>
          <w:color w:val="2B579A"/>
          <w:shd w:val="clear" w:color="auto" w:fill="E6E6E6"/>
        </w:rPr>
      </w:r>
      <w:r w:rsidR="0003591A" w:rsidRPr="0003591A">
        <w:rPr>
          <w:i/>
          <w:iCs/>
          <w:color w:val="2B579A"/>
          <w:shd w:val="clear" w:color="auto" w:fill="E6E6E6"/>
        </w:rPr>
        <w:fldChar w:fldCharType="separate"/>
      </w:r>
      <w:r w:rsidR="001E2C84" w:rsidRPr="001E2C84">
        <w:rPr>
          <w:i/>
          <w:iCs/>
        </w:rPr>
        <w:t>The ‘no consequences for conduct’ provisions (ss 22N(3)-(5), 22S(2)-(4) and 22V(3)-(5)</w:t>
      </w:r>
      <w:r w:rsidR="001E2C84">
        <w:t>)</w:t>
      </w:r>
      <w:r w:rsidR="0003591A" w:rsidRPr="0003591A">
        <w:rPr>
          <w:i/>
          <w:iCs/>
          <w:color w:val="2B579A"/>
          <w:shd w:val="clear" w:color="auto" w:fill="E6E6E6"/>
        </w:rPr>
        <w:fldChar w:fldCharType="end"/>
      </w:r>
      <w:r w:rsidR="0003591A">
        <w:t xml:space="preserve">, </w:t>
      </w:r>
      <w:r w:rsidR="00F42AF9">
        <w:t>above).</w:t>
      </w:r>
      <w:r w:rsidR="00607B76">
        <w:rPr>
          <w:rStyle w:val="FootnoteReference"/>
        </w:rPr>
        <w:footnoteReference w:id="25"/>
      </w:r>
      <w:r w:rsidR="00F42AF9">
        <w:t xml:space="preserve"> </w:t>
      </w:r>
      <w:r w:rsidR="009328FA">
        <w:t xml:space="preserve"> This is because p</w:t>
      </w:r>
      <w:r w:rsidR="0033607E">
        <w:t xml:space="preserve">roposed sections 22N(9), 22S(5) and 22V(6) of the Bill exempt ‘religious ethos organisations’ from </w:t>
      </w:r>
      <w:r w:rsidR="004A31FB">
        <w:t xml:space="preserve">having to comply with </w:t>
      </w:r>
      <w:r w:rsidR="0033607E">
        <w:t>the no consequences for conduct provisions.</w:t>
      </w:r>
    </w:p>
    <w:p w14:paraId="7DF99A23" w14:textId="041DD499" w:rsidR="00E46BA4" w:rsidRDefault="0002570B" w:rsidP="004B4479">
      <w:r>
        <w:t>So w</w:t>
      </w:r>
      <w:r w:rsidR="00F42AF9">
        <w:t>hile</w:t>
      </w:r>
      <w:r w:rsidR="0003591A">
        <w:t xml:space="preserve"> so-called</w:t>
      </w:r>
      <w:r w:rsidR="00F42AF9">
        <w:t xml:space="preserve"> </w:t>
      </w:r>
      <w:r w:rsidR="0003591A">
        <w:t>‘religious ethos</w:t>
      </w:r>
      <w:r w:rsidR="00F42AF9">
        <w:t xml:space="preserve"> organisations</w:t>
      </w:r>
      <w:r w:rsidR="0003591A">
        <w:t>’</w:t>
      </w:r>
      <w:r w:rsidR="00F42AF9">
        <w:t xml:space="preserve"> </w:t>
      </w:r>
      <w:r>
        <w:t xml:space="preserve">(particularly those who are also exempt </w:t>
      </w:r>
      <w:r w:rsidR="00F728F8">
        <w:t xml:space="preserve">under section 56 of the ADA) </w:t>
      </w:r>
      <w:r w:rsidR="00160A86">
        <w:t>will</w:t>
      </w:r>
      <w:r w:rsidR="00F42AF9">
        <w:t xml:space="preserve"> be allowed to dictate</w:t>
      </w:r>
      <w:r w:rsidR="0019468D">
        <w:t xml:space="preserve"> to</w:t>
      </w:r>
      <w:r w:rsidR="00F42AF9">
        <w:t xml:space="preserve"> their employees every aspect of their </w:t>
      </w:r>
      <w:r w:rsidR="0019468D">
        <w:t xml:space="preserve">private </w:t>
      </w:r>
      <w:r w:rsidR="00F42AF9">
        <w:t xml:space="preserve">life, </w:t>
      </w:r>
      <w:r w:rsidR="0019468D">
        <w:t>other private and public sector employers will not have the same latitude</w:t>
      </w:r>
      <w:r w:rsidR="009D76A8">
        <w:t>,</w:t>
      </w:r>
      <w:r w:rsidR="0019468D">
        <w:t xml:space="preserve"> even when the</w:t>
      </w:r>
      <w:r w:rsidR="002B6D85">
        <w:t xml:space="preserve"> private</w:t>
      </w:r>
      <w:r w:rsidR="0019468D">
        <w:t xml:space="preserve"> conduct of their employees harms others</w:t>
      </w:r>
      <w:r w:rsidR="002B6D85">
        <w:t>,</w:t>
      </w:r>
      <w:r w:rsidR="0019468D">
        <w:t xml:space="preserve"> the reputation of the</w:t>
      </w:r>
      <w:r w:rsidR="002B6D85">
        <w:t xml:space="preserve">ir </w:t>
      </w:r>
      <w:r w:rsidR="009D76A8">
        <w:t>employer</w:t>
      </w:r>
      <w:r w:rsidR="002B6D85">
        <w:t>, or undermine</w:t>
      </w:r>
      <w:r w:rsidR="009D76A8">
        <w:t>s</w:t>
      </w:r>
      <w:r w:rsidR="002B6D85">
        <w:t xml:space="preserve"> public trust in their </w:t>
      </w:r>
      <w:r w:rsidR="009D76A8">
        <w:t>profession</w:t>
      </w:r>
      <w:r w:rsidR="002B6D85">
        <w:t>.</w:t>
      </w:r>
      <w:r w:rsidR="009D76A8">
        <w:t xml:space="preserve">  </w:t>
      </w:r>
    </w:p>
    <w:p w14:paraId="344C732A" w14:textId="74D8B52B" w:rsidR="00705C97" w:rsidRDefault="003B656E" w:rsidP="004B4479">
      <w:r>
        <w:t xml:space="preserve">These </w:t>
      </w:r>
      <w:r w:rsidR="00F728F8">
        <w:t>exceptions to the no consequences for conduct provisions</w:t>
      </w:r>
      <w:r w:rsidR="00E46BA4">
        <w:t xml:space="preserve"> for ‘religious ethos organisations’</w:t>
      </w:r>
      <w:r>
        <w:t xml:space="preserve"> are </w:t>
      </w:r>
      <w:r w:rsidR="009D76A8">
        <w:t>an admission that</w:t>
      </w:r>
      <w:r w:rsidR="00805A67">
        <w:t>, in certain circumstances, it is reasonable to expect employees to act consistently with the values of an organisation</w:t>
      </w:r>
      <w:r w:rsidR="00CF3331">
        <w:t xml:space="preserve">, </w:t>
      </w:r>
      <w:r w:rsidR="002C1C74">
        <w:t xml:space="preserve">even </w:t>
      </w:r>
      <w:r w:rsidR="0014489C">
        <w:t>outside traditional workplace</w:t>
      </w:r>
      <w:r w:rsidR="00A406F4">
        <w:t xml:space="preserve"> or education</w:t>
      </w:r>
      <w:r w:rsidR="00D311F1">
        <w:t>al</w:t>
      </w:r>
      <w:r w:rsidR="0014489C">
        <w:t xml:space="preserve"> setting</w:t>
      </w:r>
      <w:r w:rsidR="00F827FA">
        <w:t>s</w:t>
      </w:r>
      <w:r w:rsidR="00805A67">
        <w:t xml:space="preserve">.  </w:t>
      </w:r>
      <w:r w:rsidR="0014489C">
        <w:t>T</w:t>
      </w:r>
      <w:r w:rsidR="00805A67">
        <w:t>hat</w:t>
      </w:r>
      <w:r w:rsidR="0014489C">
        <w:t xml:space="preserve"> </w:t>
      </w:r>
      <w:r w:rsidR="00805A67">
        <w:t xml:space="preserve">only </w:t>
      </w:r>
      <w:r w:rsidR="00E46BA4">
        <w:t>‘religious ethos</w:t>
      </w:r>
      <w:r w:rsidR="00805A67">
        <w:t xml:space="preserve"> organisations</w:t>
      </w:r>
      <w:r w:rsidR="00E46BA4">
        <w:t>’</w:t>
      </w:r>
      <w:r w:rsidR="00A12D9E">
        <w:t xml:space="preserve"> have that ability, and not </w:t>
      </w:r>
      <w:r w:rsidR="00805A67">
        <w:t xml:space="preserve">other </w:t>
      </w:r>
      <w:r w:rsidR="003406C9">
        <w:t>private and public employers</w:t>
      </w:r>
      <w:r w:rsidR="001A14D7">
        <w:t xml:space="preserve"> seeking to create inclusive cultures and environments for their employees, students and the public</w:t>
      </w:r>
      <w:r w:rsidR="007C248B">
        <w:t>,</w:t>
      </w:r>
      <w:r w:rsidR="003406C9">
        <w:t xml:space="preserve"> is another example of the double standards in this Bill</w:t>
      </w:r>
      <w:r w:rsidR="00C01364">
        <w:t>.</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57266F" w14:paraId="6E146D7A" w14:textId="77777777" w:rsidTr="00D34D52">
        <w:tc>
          <w:tcPr>
            <w:tcW w:w="8871" w:type="dxa"/>
            <w:tcMar>
              <w:bottom w:w="142" w:type="dxa"/>
            </w:tcMar>
          </w:tcPr>
          <w:p w14:paraId="67C5A35C" w14:textId="33F434A6" w:rsidR="0057266F" w:rsidRDefault="0057266F" w:rsidP="00D34D52">
            <w:pPr>
              <w:pStyle w:val="Heading3"/>
              <w:outlineLvl w:val="2"/>
            </w:pPr>
            <w:r>
              <w:t>Alternative recommendation</w:t>
            </w:r>
          </w:p>
          <w:p w14:paraId="2418FFA7" w14:textId="0C4C46AA" w:rsidR="0057266F" w:rsidRDefault="00CD7425" w:rsidP="00D34D52">
            <w:pPr>
              <w:rPr>
                <w:rStyle w:val="PageNumber"/>
              </w:rPr>
            </w:pPr>
            <w:r>
              <w:t>Subs</w:t>
            </w:r>
            <w:r w:rsidR="0057266F">
              <w:t>ections 22</w:t>
            </w:r>
            <w:proofErr w:type="gramStart"/>
            <w:r w:rsidR="0057266F">
              <w:t>N</w:t>
            </w:r>
            <w:r w:rsidR="00AF205C">
              <w:t>(</w:t>
            </w:r>
            <w:proofErr w:type="gramEnd"/>
            <w:r w:rsidR="00AF205C">
              <w:t>9), 22S(5)</w:t>
            </w:r>
            <w:r w:rsidR="00D77CE8">
              <w:t xml:space="preserve"> and 22V(6)</w:t>
            </w:r>
            <w:r w:rsidR="0057266F">
              <w:t xml:space="preserve"> should be removed.</w:t>
            </w:r>
          </w:p>
        </w:tc>
      </w:tr>
    </w:tbl>
    <w:p w14:paraId="3D418FA4" w14:textId="3538407C" w:rsidR="00193325" w:rsidRDefault="00081150" w:rsidP="00CA34DF">
      <w:pPr>
        <w:pStyle w:val="Heading1"/>
      </w:pPr>
      <w:bookmarkStart w:id="15" w:name="_Toc48921255"/>
      <w:r>
        <w:t>R</w:t>
      </w:r>
      <w:r w:rsidR="00C75F3D">
        <w:t xml:space="preserve">eligious </w:t>
      </w:r>
      <w:r>
        <w:t>b</w:t>
      </w:r>
      <w:r w:rsidR="00C75F3D">
        <w:t>ill of rights</w:t>
      </w:r>
      <w:bookmarkEnd w:id="15"/>
    </w:p>
    <w:p w14:paraId="2A268D1F" w14:textId="35B619F0" w:rsidR="00B369FE" w:rsidRPr="00B369FE" w:rsidRDefault="00017FF9" w:rsidP="00B369FE">
      <w:pPr>
        <w:pStyle w:val="Intro"/>
      </w:pPr>
      <w:r>
        <w:t>This</w:t>
      </w:r>
      <w:r w:rsidR="00B369FE">
        <w:t xml:space="preserve"> Bill establishes a </w:t>
      </w:r>
      <w:r w:rsidR="004D7A24">
        <w:t>religious</w:t>
      </w:r>
      <w:r w:rsidR="00B369FE">
        <w:t xml:space="preserve"> bill of rights which priorities religion above other human rights. </w:t>
      </w:r>
      <w:r w:rsidR="009E4F3C">
        <w:t xml:space="preserve"> It does that by </w:t>
      </w:r>
      <w:r w:rsidR="003D791D">
        <w:t>allow</w:t>
      </w:r>
      <w:r w:rsidR="009E4F3C">
        <w:t xml:space="preserve">ing </w:t>
      </w:r>
      <w:r>
        <w:t xml:space="preserve">individuals and organisations </w:t>
      </w:r>
      <w:r w:rsidR="003D791D">
        <w:t xml:space="preserve">which define themselves as religious </w:t>
      </w:r>
      <w:r>
        <w:t xml:space="preserve">to challenge </w:t>
      </w:r>
      <w:r w:rsidR="00524D9B">
        <w:t>NSW</w:t>
      </w:r>
      <w:r w:rsidR="00A241BA">
        <w:t xml:space="preserve"> </w:t>
      </w:r>
      <w:r w:rsidR="001F59A1">
        <w:t xml:space="preserve">programs, policies, </w:t>
      </w:r>
      <w:proofErr w:type="gramStart"/>
      <w:r w:rsidR="001F59A1">
        <w:t>contracts</w:t>
      </w:r>
      <w:proofErr w:type="gramEnd"/>
      <w:r w:rsidR="001F59A1">
        <w:t xml:space="preserve"> and decisions </w:t>
      </w:r>
      <w:r w:rsidR="004D7A24">
        <w:t xml:space="preserve">which contradict their </w:t>
      </w:r>
      <w:r w:rsidR="001F59A1">
        <w:t>particular religion</w:t>
      </w:r>
      <w:r w:rsidR="00AD47BB">
        <w:t>.</w:t>
      </w:r>
      <w:r w:rsidR="001807B3">
        <w:t xml:space="preserve">  </w:t>
      </w:r>
      <w:r w:rsidR="0018036D">
        <w:t>It does that by giving special consideration to</w:t>
      </w:r>
      <w:r w:rsidR="0018036D" w:rsidRPr="00BE4404">
        <w:t xml:space="preserve"> </w:t>
      </w:r>
      <w:r w:rsidR="0018036D">
        <w:t>the manifestation of religion</w:t>
      </w:r>
      <w:r w:rsidR="0018036D" w:rsidRPr="00BE4404">
        <w:t xml:space="preserve"> when</w:t>
      </w:r>
      <w:r w:rsidR="00675471">
        <w:t xml:space="preserve"> considering any discrimination complaint.</w:t>
      </w:r>
      <w:r w:rsidR="0018036D">
        <w:t xml:space="preserve">  </w:t>
      </w:r>
      <w:r w:rsidR="0039237F">
        <w:t xml:space="preserve">It also does that </w:t>
      </w:r>
      <w:r w:rsidR="000504DC">
        <w:t xml:space="preserve">by </w:t>
      </w:r>
      <w:r w:rsidR="0039237F">
        <w:t>protecting activities</w:t>
      </w:r>
      <w:r w:rsidR="000504DC">
        <w:t>,</w:t>
      </w:r>
      <w:r w:rsidR="00150FD5">
        <w:t xml:space="preserve"> motivated by religious beliefs</w:t>
      </w:r>
      <w:r w:rsidR="000504DC">
        <w:t>,</w:t>
      </w:r>
      <w:r w:rsidR="0039237F">
        <w:t xml:space="preserve"> that may breach the law or other obligations.  </w:t>
      </w:r>
      <w:r w:rsidR="00150FD5">
        <w:t>Our laws should apply to us all</w:t>
      </w:r>
      <w:r w:rsidR="000504DC">
        <w:t>,</w:t>
      </w:r>
      <w:r w:rsidR="00150FD5">
        <w:t xml:space="preserve"> and protect all of us, equally.  </w:t>
      </w:r>
    </w:p>
    <w:p w14:paraId="1FE0E506" w14:textId="24D381B4" w:rsidR="00607AE7" w:rsidRDefault="00607AE7" w:rsidP="00BB79D2">
      <w:pPr>
        <w:pStyle w:val="Heading2"/>
      </w:pPr>
      <w:bookmarkStart w:id="16" w:name="_Toc48921256"/>
      <w:r>
        <w:t>Challenging state laws and programs</w:t>
      </w:r>
      <w:r w:rsidR="002329DC">
        <w:t xml:space="preserve"> (s 22Z)</w:t>
      </w:r>
      <w:bookmarkEnd w:id="16"/>
    </w:p>
    <w:p w14:paraId="190B4CCC" w14:textId="5BB2B5D3" w:rsidR="00905330" w:rsidRDefault="00F01020" w:rsidP="00905330">
      <w:r>
        <w:t xml:space="preserve">‘Religious ethos organisations’ (that is, any legal entity which </w:t>
      </w:r>
      <w:r w:rsidR="00905330" w:rsidRPr="00F426D2">
        <w:t>define</w:t>
      </w:r>
      <w:r w:rsidR="00131920">
        <w:t>s</w:t>
      </w:r>
      <w:r>
        <w:t xml:space="preserve"> itself </w:t>
      </w:r>
      <w:r w:rsidR="00905330" w:rsidRPr="00F426D2">
        <w:t>as religious</w:t>
      </w:r>
      <w:r w:rsidR="00131920">
        <w:t xml:space="preserve">: see section </w:t>
      </w:r>
      <w:r w:rsidR="00131920">
        <w:rPr>
          <w:color w:val="2B579A"/>
          <w:shd w:val="clear" w:color="auto" w:fill="E6E6E6"/>
        </w:rPr>
        <w:fldChar w:fldCharType="begin"/>
      </w:r>
      <w:r w:rsidR="00131920">
        <w:instrText xml:space="preserve"> REF _Ref48746617 \w \h </w:instrText>
      </w:r>
      <w:r w:rsidR="00131920">
        <w:rPr>
          <w:color w:val="2B579A"/>
          <w:shd w:val="clear" w:color="auto" w:fill="E6E6E6"/>
        </w:rPr>
      </w:r>
      <w:r w:rsidR="00131920">
        <w:rPr>
          <w:color w:val="2B579A"/>
          <w:shd w:val="clear" w:color="auto" w:fill="E6E6E6"/>
        </w:rPr>
        <w:fldChar w:fldCharType="separate"/>
      </w:r>
      <w:r w:rsidR="001E2C84">
        <w:t>2(b)</w:t>
      </w:r>
      <w:r w:rsidR="00131920">
        <w:rPr>
          <w:color w:val="2B579A"/>
          <w:shd w:val="clear" w:color="auto" w:fill="E6E6E6"/>
        </w:rPr>
        <w:fldChar w:fldCharType="end"/>
      </w:r>
      <w:r w:rsidR="00131920">
        <w:t xml:space="preserve"> above</w:t>
      </w:r>
      <w:r>
        <w:t>)</w:t>
      </w:r>
      <w:r w:rsidR="00905330" w:rsidRPr="00F426D2">
        <w:t xml:space="preserve"> will be able to challenge NSW government programs, policies, contracts and decisions which contradict </w:t>
      </w:r>
      <w:r w:rsidR="00131920">
        <w:t>their</w:t>
      </w:r>
      <w:r w:rsidR="00905330">
        <w:t xml:space="preserve"> particular</w:t>
      </w:r>
      <w:r w:rsidR="00905330" w:rsidRPr="00F426D2">
        <w:t xml:space="preserve"> religion</w:t>
      </w:r>
      <w:r w:rsidR="00905330">
        <w:t>.</w:t>
      </w:r>
    </w:p>
    <w:p w14:paraId="3F4090DE" w14:textId="32B587E2" w:rsidR="005B0325" w:rsidRDefault="00DF4717" w:rsidP="00905330">
      <w:r>
        <w:lastRenderedPageBreak/>
        <w:t>P</w:t>
      </w:r>
      <w:r w:rsidR="00905330">
        <w:t xml:space="preserve">roposed section 22Z would make it unlawful to discriminate against a person (including a ‘religious ethos organisation’) on the grounds of religious belief or activity when performing a function or administering </w:t>
      </w:r>
      <w:proofErr w:type="gramStart"/>
      <w:r w:rsidR="00905330">
        <w:t>a</w:t>
      </w:r>
      <w:proofErr w:type="gramEnd"/>
      <w:r w:rsidR="00905330">
        <w:t xml:space="preserve"> NSW law or program.  </w:t>
      </w:r>
      <w:r w:rsidR="00E340C9">
        <w:t>For the following reasons</w:t>
      </w:r>
      <w:r w:rsidR="00DE48AF">
        <w:t>, p</w:t>
      </w:r>
      <w:r>
        <w:t xml:space="preserve">roposed section 22Z </w:t>
      </w:r>
      <w:r w:rsidR="005B0325">
        <w:t xml:space="preserve">is </w:t>
      </w:r>
      <w:r w:rsidR="000E3748">
        <w:t>a</w:t>
      </w:r>
      <w:r w:rsidR="003B3F65">
        <w:t xml:space="preserve"> significant</w:t>
      </w:r>
      <w:r w:rsidR="005B0325">
        <w:t xml:space="preserve"> </w:t>
      </w:r>
      <w:r w:rsidR="00E340C9">
        <w:t xml:space="preserve">and unprecedented </w:t>
      </w:r>
      <w:r w:rsidR="005B0325">
        <w:t>provision</w:t>
      </w:r>
      <w:r>
        <w:t>, akin to a ‘bill of rights’ provision</w:t>
      </w:r>
      <w:r w:rsidR="00E340C9">
        <w:t xml:space="preserve"> for individuals and legal entities which define themselves as religious</w:t>
      </w:r>
      <w:r>
        <w:t>.</w:t>
      </w:r>
      <w:r w:rsidR="00B66220">
        <w:t xml:space="preserve">  </w:t>
      </w:r>
    </w:p>
    <w:p w14:paraId="618DF30B" w14:textId="3F4788D9" w:rsidR="00905330" w:rsidRDefault="001E3B7C" w:rsidP="00905330">
      <w:r>
        <w:t>T</w:t>
      </w:r>
      <w:r w:rsidR="00905330">
        <w:t xml:space="preserve">his type of provision is not currently applicable to any other protected attribute in the </w:t>
      </w:r>
      <w:r w:rsidR="0008590A">
        <w:t>ADA</w:t>
      </w:r>
      <w:r w:rsidR="00905330" w:rsidRPr="3B859BCD">
        <w:rPr>
          <w:i/>
          <w:iCs/>
        </w:rPr>
        <w:t xml:space="preserve"> </w:t>
      </w:r>
      <w:r w:rsidR="00905330">
        <w:t>apart from protections against sexual harassment.</w:t>
      </w:r>
      <w:r w:rsidR="00F66837">
        <w:rPr>
          <w:rStyle w:val="FootnoteReference"/>
        </w:rPr>
        <w:footnoteReference w:id="26"/>
      </w:r>
      <w:r w:rsidR="00905330">
        <w:t xml:space="preserve">  </w:t>
      </w:r>
      <w:r w:rsidR="00853A34">
        <w:t xml:space="preserve">Similar provisions </w:t>
      </w:r>
      <w:r w:rsidR="00D56EDB">
        <w:t>in</w:t>
      </w:r>
      <w:r w:rsidR="00853A34">
        <w:t xml:space="preserve"> Commonwealth laws, however, </w:t>
      </w:r>
      <w:r w:rsidR="00D56EDB">
        <w:t>have been used to</w:t>
      </w:r>
      <w:r w:rsidR="007616B2">
        <w:t xml:space="preserve"> </w:t>
      </w:r>
      <w:r w:rsidR="00D56EDB">
        <w:t xml:space="preserve">challenge harassment </w:t>
      </w:r>
      <w:r w:rsidR="00750BF8">
        <w:t xml:space="preserve">which occurred </w:t>
      </w:r>
      <w:r w:rsidR="00F66837">
        <w:t xml:space="preserve">in </w:t>
      </w:r>
      <w:r w:rsidR="008B6ED7">
        <w:t>Commonwealth programs</w:t>
      </w:r>
      <w:r w:rsidR="00F66837">
        <w:t xml:space="preserve"> run by local councils</w:t>
      </w:r>
      <w:r w:rsidR="00076954">
        <w:t>,</w:t>
      </w:r>
      <w:r w:rsidR="00F66837">
        <w:rPr>
          <w:rStyle w:val="FootnoteReference"/>
        </w:rPr>
        <w:footnoteReference w:id="27"/>
      </w:r>
      <w:r w:rsidR="000D5B5D">
        <w:t xml:space="preserve"> regulations made under a Commonwealth law</w:t>
      </w:r>
      <w:r>
        <w:t>,</w:t>
      </w:r>
      <w:r w:rsidR="00707764">
        <w:rPr>
          <w:rStyle w:val="FootnoteReference"/>
        </w:rPr>
        <w:footnoteReference w:id="28"/>
      </w:r>
      <w:r w:rsidR="008D3466">
        <w:t xml:space="preserve"> </w:t>
      </w:r>
      <w:r>
        <w:t>and decisions of Minister</w:t>
      </w:r>
      <w:r w:rsidR="00750BF8">
        <w:t>s</w:t>
      </w:r>
      <w:r>
        <w:t xml:space="preserve"> </w:t>
      </w:r>
      <w:r w:rsidR="00750BF8">
        <w:t>and</w:t>
      </w:r>
      <w:r>
        <w:t xml:space="preserve"> public agenc</w:t>
      </w:r>
      <w:r w:rsidR="00750BF8">
        <w:t>ies</w:t>
      </w:r>
      <w:r>
        <w:t xml:space="preserve"> under Commonwealth law</w:t>
      </w:r>
      <w:r w:rsidR="00750BF8">
        <w:t>s</w:t>
      </w:r>
      <w:r>
        <w:t>.</w:t>
      </w:r>
      <w:r>
        <w:rPr>
          <w:rStyle w:val="FootnoteReference"/>
        </w:rPr>
        <w:footnoteReference w:id="29"/>
      </w:r>
      <w:r>
        <w:t xml:space="preserve"> </w:t>
      </w:r>
    </w:p>
    <w:p w14:paraId="4A8AC0C3" w14:textId="0D2B4B8A" w:rsidR="00C264A4" w:rsidRDefault="000A2379" w:rsidP="00CD3E49">
      <w:r>
        <w:t xml:space="preserve">Proposed section 22Z </w:t>
      </w:r>
      <w:r w:rsidR="00905330">
        <w:t xml:space="preserve">means that any executive action taken under </w:t>
      </w:r>
      <w:proofErr w:type="gramStart"/>
      <w:r w:rsidR="00905330">
        <w:t>a</w:t>
      </w:r>
      <w:proofErr w:type="gramEnd"/>
      <w:r w:rsidR="00905330">
        <w:t xml:space="preserve"> NSW law, and any NSW government contract, decision or policy, could be challenged if it contradicts the religion </w:t>
      </w:r>
      <w:r w:rsidR="00B403D0">
        <w:t xml:space="preserve">of an organisation or the religion </w:t>
      </w:r>
      <w:r w:rsidR="00097346">
        <w:t xml:space="preserve">(or no religion) </w:t>
      </w:r>
      <w:r w:rsidR="00905330">
        <w:t>of a person</w:t>
      </w:r>
      <w:r w:rsidR="00AA2E63">
        <w:t>.  For example</w:t>
      </w:r>
      <w:r w:rsidR="00C264A4">
        <w:t>:</w:t>
      </w:r>
      <w:r w:rsidR="00AA2E63">
        <w:t xml:space="preserve"> </w:t>
      </w:r>
    </w:p>
    <w:p w14:paraId="562AD257" w14:textId="5AC5D79E" w:rsidR="00CB3AFD" w:rsidRDefault="00AA2E63" w:rsidP="00C264A4">
      <w:pPr>
        <w:pStyle w:val="Bullet"/>
      </w:pPr>
      <w:r>
        <w:t>a</w:t>
      </w:r>
      <w:r w:rsidR="00A6223E">
        <w:t>n</w:t>
      </w:r>
      <w:r>
        <w:t xml:space="preserve"> organisation </w:t>
      </w:r>
      <w:r w:rsidR="000A2379">
        <w:t xml:space="preserve">which defines itself as religious </w:t>
      </w:r>
      <w:r>
        <w:t xml:space="preserve">could challenge a government contract requiring it to provide </w:t>
      </w:r>
      <w:r w:rsidR="000A2379">
        <w:t>taxpayer</w:t>
      </w:r>
      <w:r>
        <w:t xml:space="preserve">-funded </w:t>
      </w:r>
      <w:r w:rsidR="00391DE7">
        <w:t xml:space="preserve">foster care </w:t>
      </w:r>
      <w:r>
        <w:t>services to everyone equally</w:t>
      </w:r>
      <w:r w:rsidR="00A6223E">
        <w:t>,</w:t>
      </w:r>
      <w:r>
        <w:t xml:space="preserve"> on the basis that </w:t>
      </w:r>
      <w:r w:rsidR="00F0029B">
        <w:t xml:space="preserve">accepting </w:t>
      </w:r>
      <w:r w:rsidR="00CD3E49">
        <w:t>unmarried heterosexual or</w:t>
      </w:r>
      <w:r w:rsidR="00474FBF">
        <w:t xml:space="preserve"> same-sex couples</w:t>
      </w:r>
      <w:r w:rsidR="00F0029B">
        <w:t xml:space="preserve"> as potential foster carers</w:t>
      </w:r>
      <w:r w:rsidR="00474FBF">
        <w:t xml:space="preserve"> </w:t>
      </w:r>
      <w:r w:rsidR="00CD3E49">
        <w:t>contradicts its religious beliefs</w:t>
      </w:r>
      <w:r w:rsidR="00CB3AFD">
        <w:t>;</w:t>
      </w:r>
    </w:p>
    <w:p w14:paraId="0D46D2C7" w14:textId="35D9614A" w:rsidR="00905330" w:rsidRDefault="00C264A4" w:rsidP="00935348">
      <w:pPr>
        <w:pStyle w:val="Bullet"/>
      </w:pPr>
      <w:r>
        <w:t>a</w:t>
      </w:r>
      <w:r w:rsidR="00A6223E">
        <w:t>n</w:t>
      </w:r>
      <w:r>
        <w:t xml:space="preserve"> organisation </w:t>
      </w:r>
      <w:r w:rsidR="00A6223E">
        <w:t xml:space="preserve">which defines itself as religious </w:t>
      </w:r>
      <w:r>
        <w:t xml:space="preserve">could challenge </w:t>
      </w:r>
      <w:r w:rsidR="00905330">
        <w:t>COVID-19 public health orders</w:t>
      </w:r>
      <w:r w:rsidR="008D4F68">
        <w:t xml:space="preserve"> which</w:t>
      </w:r>
      <w:r w:rsidR="00905330">
        <w:t xml:space="preserve"> restrict public gatherings</w:t>
      </w:r>
      <w:r w:rsidR="00935348">
        <w:t xml:space="preserve">, </w:t>
      </w:r>
      <w:r w:rsidR="00D23C44">
        <w:t>arguing that they</w:t>
      </w:r>
      <w:r w:rsidR="00935348">
        <w:t xml:space="preserve"> impose an unreasonable </w:t>
      </w:r>
      <w:r w:rsidR="002F62DF">
        <w:t>restriction</w:t>
      </w:r>
      <w:r w:rsidR="00935348">
        <w:t xml:space="preserve"> </w:t>
      </w:r>
      <w:r w:rsidR="007462B9">
        <w:t xml:space="preserve">on </w:t>
      </w:r>
      <w:r w:rsidR="005A79DB">
        <w:t xml:space="preserve">their </w:t>
      </w:r>
      <w:r w:rsidR="00935348">
        <w:t>worship</w:t>
      </w:r>
      <w:r w:rsidR="005A79DB">
        <w:t xml:space="preserve"> activities</w:t>
      </w:r>
      <w:r w:rsidR="007462B9">
        <w:t xml:space="preserve"> when major recreational facilities or corporate events are allowed</w:t>
      </w:r>
      <w:r w:rsidR="002F62DF">
        <w:t xml:space="preserve"> congregations of</w:t>
      </w:r>
      <w:r w:rsidR="007462B9">
        <w:t xml:space="preserve"> a much greater number of people</w:t>
      </w:r>
      <w:r w:rsidR="00935348">
        <w:t>.</w:t>
      </w:r>
      <w:r w:rsidR="007462B9">
        <w:rPr>
          <w:rStyle w:val="FootnoteReference"/>
        </w:rPr>
        <w:footnoteReference w:id="30"/>
      </w:r>
      <w:r w:rsidR="00935348">
        <w:t xml:space="preserve">  This is because the COVID-19 public health orders are </w:t>
      </w:r>
      <w:r w:rsidR="0033576B">
        <w:t xml:space="preserve">merely </w:t>
      </w:r>
      <w:r w:rsidR="00D23C44">
        <w:t>orders made by</w:t>
      </w:r>
      <w:r w:rsidR="0033576B">
        <w:t xml:space="preserve"> </w:t>
      </w:r>
      <w:r w:rsidR="00B92359">
        <w:t>the Health</w:t>
      </w:r>
      <w:r w:rsidR="0033576B">
        <w:t xml:space="preserve"> Minister under </w:t>
      </w:r>
      <w:r w:rsidR="00D23C44">
        <w:t xml:space="preserve">section 7 of the </w:t>
      </w:r>
      <w:r w:rsidR="00D23C44" w:rsidRPr="00D23C44">
        <w:rPr>
          <w:i/>
          <w:iCs/>
        </w:rPr>
        <w:t>Public Health Act 2010</w:t>
      </w:r>
      <w:r w:rsidR="00D23C44">
        <w:t xml:space="preserve"> (NSW), and thereby</w:t>
      </w:r>
      <w:r w:rsidR="008D4F68">
        <w:t xml:space="preserve"> the Minister is performing a function under a State law in making them</w:t>
      </w:r>
      <w:r w:rsidR="00D23C44">
        <w:t>.</w:t>
      </w:r>
      <w:r w:rsidR="006E42E3">
        <w:t xml:space="preserve">  On the other hand, an individual who holds no religious belief, could equally challenge </w:t>
      </w:r>
      <w:r w:rsidR="004C065D">
        <w:t xml:space="preserve">a COVID-19 public health order which provided people of faith with </w:t>
      </w:r>
      <w:r w:rsidR="004C065D" w:rsidRPr="004C065D">
        <w:rPr>
          <w:i/>
          <w:iCs/>
        </w:rPr>
        <w:t>greater</w:t>
      </w:r>
      <w:r w:rsidR="004C065D">
        <w:rPr>
          <w:i/>
          <w:iCs/>
        </w:rPr>
        <w:t xml:space="preserve"> </w:t>
      </w:r>
      <w:r w:rsidR="002B4451">
        <w:t>latitude to gather for the purposes of religious worship,</w:t>
      </w:r>
      <w:r w:rsidR="00ED01FD">
        <w:rPr>
          <w:rStyle w:val="FootnoteReference"/>
        </w:rPr>
        <w:footnoteReference w:id="31"/>
      </w:r>
      <w:r w:rsidR="002B4451">
        <w:t xml:space="preserve"> arguing that such order</w:t>
      </w:r>
      <w:r w:rsidR="00ED01FD">
        <w:t>s</w:t>
      </w:r>
      <w:r w:rsidR="002B4451">
        <w:t xml:space="preserve"> discriminate against gatherings between atheists or for secular, but otherwise </w:t>
      </w:r>
      <w:r w:rsidR="0044538C">
        <w:t xml:space="preserve">other </w:t>
      </w:r>
      <w:r w:rsidR="002B4451">
        <w:t>important</w:t>
      </w:r>
      <w:r w:rsidR="00ED01FD">
        <w:t xml:space="preserve"> and legitimate</w:t>
      </w:r>
      <w:r w:rsidR="00B56EF9">
        <w:t>,</w:t>
      </w:r>
      <w:r w:rsidR="00ED01FD">
        <w:t xml:space="preserve"> public purposes such as attending protests</w:t>
      </w:r>
      <w:r w:rsidR="00CB3AFD">
        <w:t>;</w:t>
      </w:r>
    </w:p>
    <w:p w14:paraId="12665C09" w14:textId="4DB9B2BA" w:rsidR="00CB3AFD" w:rsidRDefault="00CB3AFD" w:rsidP="00935348">
      <w:pPr>
        <w:pStyle w:val="Bullet"/>
      </w:pPr>
      <w:r>
        <w:t>a</w:t>
      </w:r>
      <w:r w:rsidR="000B68D5">
        <w:t xml:space="preserve"> parent </w:t>
      </w:r>
      <w:r>
        <w:t xml:space="preserve">could challenge a </w:t>
      </w:r>
      <w:r w:rsidR="00B56EF9">
        <w:t>public</w:t>
      </w:r>
      <w:r>
        <w:t xml:space="preserve"> </w:t>
      </w:r>
      <w:r w:rsidR="00EC42D2">
        <w:t>school</w:t>
      </w:r>
      <w:r w:rsidR="0044538C">
        <w:t xml:space="preserve">’s decision </w:t>
      </w:r>
      <w:r w:rsidR="00EC42D2">
        <w:t xml:space="preserve">to </w:t>
      </w:r>
      <w:r w:rsidR="0060080A">
        <w:t>select</w:t>
      </w:r>
      <w:r w:rsidR="003B057C">
        <w:t xml:space="preserve"> </w:t>
      </w:r>
      <w:r w:rsidR="002F3967">
        <w:t xml:space="preserve">a </w:t>
      </w:r>
      <w:r w:rsidR="003B057C">
        <w:t xml:space="preserve">school chaplain instead of a </w:t>
      </w:r>
      <w:r w:rsidR="0044538C">
        <w:t xml:space="preserve">secular </w:t>
      </w:r>
      <w:r w:rsidR="003B057C">
        <w:t xml:space="preserve">youth worker </w:t>
      </w:r>
      <w:r w:rsidR="000B68D5">
        <w:t>on the grounds that their child</w:t>
      </w:r>
      <w:r w:rsidR="002F3967">
        <w:t xml:space="preserve"> </w:t>
      </w:r>
      <w:r w:rsidR="000B68D5">
        <w:t>should be provided with</w:t>
      </w:r>
      <w:r w:rsidR="00B56EF9">
        <w:t xml:space="preserve"> access to a</w:t>
      </w:r>
      <w:r w:rsidR="000B68D5">
        <w:t xml:space="preserve"> </w:t>
      </w:r>
      <w:r w:rsidR="002F3967">
        <w:t>student wellbeing</w:t>
      </w:r>
      <w:r w:rsidR="000B68D5">
        <w:t xml:space="preserve"> support </w:t>
      </w:r>
      <w:r w:rsidR="00B56EF9">
        <w:t xml:space="preserve">officer who </w:t>
      </w:r>
      <w:r w:rsidR="002F3967">
        <w:t>does not contradict their atheist values</w:t>
      </w:r>
      <w:r w:rsidR="000B68D5">
        <w:t>.</w:t>
      </w:r>
    </w:p>
    <w:p w14:paraId="7110D922" w14:textId="106CACE7" w:rsidR="00905330" w:rsidRDefault="002F3967" w:rsidP="00905330">
      <w:r>
        <w:t>Finally, t</w:t>
      </w:r>
      <w:r w:rsidR="00905330">
        <w:t xml:space="preserve">his provision gives organisations that define themselves as religious the right to bring their own human rights complaints under laws which are intended to protect </w:t>
      </w:r>
      <w:r w:rsidR="00905330">
        <w:rPr>
          <w:i/>
          <w:iCs/>
        </w:rPr>
        <w:t xml:space="preserve">humans </w:t>
      </w:r>
      <w:r w:rsidR="00905330">
        <w:t xml:space="preserve">not organisations.  </w:t>
      </w:r>
      <w:r w:rsidR="00FF178C">
        <w:t>Section 22</w:t>
      </w:r>
      <w:proofErr w:type="gramStart"/>
      <w:r w:rsidR="00FF178C">
        <w:t>Z(</w:t>
      </w:r>
      <w:proofErr w:type="gramEnd"/>
      <w:r w:rsidR="00FF178C">
        <w:t xml:space="preserve">2) specifically does so by giving </w:t>
      </w:r>
      <w:r w:rsidR="008B5CFB">
        <w:t>‘</w:t>
      </w:r>
      <w:r w:rsidR="00FF178C">
        <w:t>religious ethos organisations</w:t>
      </w:r>
      <w:r w:rsidR="008B5CFB">
        <w:t>’</w:t>
      </w:r>
      <w:r w:rsidR="00FF178C">
        <w:t xml:space="preserve"> </w:t>
      </w:r>
      <w:r w:rsidR="008B5CFB">
        <w:t xml:space="preserve">standing to bring their own discrimination complaints.  </w:t>
      </w:r>
      <w:r w:rsidR="00332BBC">
        <w:t>Further, g</w:t>
      </w:r>
      <w:r w:rsidR="008B5CFB">
        <w:t>iven the breadth of the definition of a ‘religious ethos organisation’</w:t>
      </w:r>
      <w:r w:rsidR="00DD7735">
        <w:t xml:space="preserve"> (</w:t>
      </w:r>
      <w:r w:rsidR="00042871">
        <w:t xml:space="preserve">see section </w:t>
      </w:r>
      <w:r w:rsidR="00042871">
        <w:rPr>
          <w:color w:val="2B579A"/>
          <w:shd w:val="clear" w:color="auto" w:fill="E6E6E6"/>
        </w:rPr>
        <w:fldChar w:fldCharType="begin"/>
      </w:r>
      <w:r w:rsidR="00042871">
        <w:instrText xml:space="preserve"> REF _Ref48746617 \w \h </w:instrText>
      </w:r>
      <w:r w:rsidR="00042871">
        <w:rPr>
          <w:color w:val="2B579A"/>
          <w:shd w:val="clear" w:color="auto" w:fill="E6E6E6"/>
        </w:rPr>
      </w:r>
      <w:r w:rsidR="00042871">
        <w:rPr>
          <w:color w:val="2B579A"/>
          <w:shd w:val="clear" w:color="auto" w:fill="E6E6E6"/>
        </w:rPr>
        <w:fldChar w:fldCharType="separate"/>
      </w:r>
      <w:r w:rsidR="001E2C84">
        <w:t>2(b)</w:t>
      </w:r>
      <w:r w:rsidR="00042871">
        <w:rPr>
          <w:color w:val="2B579A"/>
          <w:shd w:val="clear" w:color="auto" w:fill="E6E6E6"/>
        </w:rPr>
        <w:fldChar w:fldCharType="end"/>
      </w:r>
      <w:r w:rsidR="00042871">
        <w:t xml:space="preserve"> above</w:t>
      </w:r>
      <w:r w:rsidR="00DD7735">
        <w:t xml:space="preserve">), this provision </w:t>
      </w:r>
      <w:r w:rsidR="00905330">
        <w:lastRenderedPageBreak/>
        <w:t xml:space="preserve">protects religious schools, charities and ‘any other body’ conducted in accordance with the doctrines, tenets, beliefs or teachings of a particular religion, meaning that even commercial operations could be protected. </w:t>
      </w:r>
    </w:p>
    <w:p w14:paraId="784D86F6" w14:textId="65B858F0" w:rsidR="003230F4" w:rsidRDefault="00F57455" w:rsidP="000C2EAD">
      <w:r>
        <w:t>This</w:t>
      </w:r>
      <w:r w:rsidR="00DA6B92">
        <w:t xml:space="preserve"> </w:t>
      </w:r>
      <w:r w:rsidR="000504DC">
        <w:t xml:space="preserve">type of </w:t>
      </w:r>
      <w:r w:rsidR="00332BBC">
        <w:t>provision, which has been taken and extended to ‘religious ethos organisations’, highlights the critical importance of thinking carefully about how religious discrimination protections, if they are to be introduced</w:t>
      </w:r>
      <w:r w:rsidR="0044538C">
        <w:t xml:space="preserve"> in NSW</w:t>
      </w:r>
      <w:r w:rsidR="00332BBC">
        <w:t xml:space="preserve">, </w:t>
      </w:r>
      <w:r w:rsidR="00752EC2">
        <w:t xml:space="preserve">must </w:t>
      </w:r>
      <w:r w:rsidR="00332BBC">
        <w:t>be balanced</w:t>
      </w:r>
      <w:r w:rsidR="008916ED">
        <w:t xml:space="preserve"> with the rights of others</w:t>
      </w:r>
      <w:r w:rsidR="00AF0768">
        <w:t xml:space="preserve"> and society at large.  The </w:t>
      </w:r>
      <w:r w:rsidR="0008590A">
        <w:t>ADA</w:t>
      </w:r>
      <w:r w:rsidR="00AF0768">
        <w:t xml:space="preserve"> </w:t>
      </w:r>
      <w:r w:rsidR="00D4540A">
        <w:t>is</w:t>
      </w:r>
      <w:r w:rsidR="00FC68E4">
        <w:t xml:space="preserve"> not currently fit for this purpose.  </w:t>
      </w:r>
    </w:p>
    <w:p w14:paraId="3A93FFF1" w14:textId="260DE009" w:rsidR="000C2EAD" w:rsidRDefault="000504DC" w:rsidP="000C2EAD">
      <w:r>
        <w:t>Finally</w:t>
      </w:r>
      <w:r w:rsidR="00B301F7">
        <w:t xml:space="preserve">, if you are </w:t>
      </w:r>
      <w:r w:rsidR="009726D3">
        <w:t xml:space="preserve">to </w:t>
      </w:r>
      <w:r w:rsidR="00B301F7">
        <w:t xml:space="preserve">provide people with a right </w:t>
      </w:r>
      <w:r w:rsidR="00820757">
        <w:t>to</w:t>
      </w:r>
      <w:r w:rsidR="00B301F7">
        <w:t xml:space="preserve"> </w:t>
      </w:r>
      <w:r w:rsidR="00820757">
        <w:t xml:space="preserve">challenge government </w:t>
      </w:r>
      <w:r w:rsidR="001427BF">
        <w:t xml:space="preserve">programs, policies, </w:t>
      </w:r>
      <w:proofErr w:type="gramStart"/>
      <w:r w:rsidR="001427BF">
        <w:t>contracts</w:t>
      </w:r>
      <w:proofErr w:type="gramEnd"/>
      <w:r w:rsidR="001427BF">
        <w:t xml:space="preserve"> and decisions</w:t>
      </w:r>
      <w:r w:rsidR="005F742E">
        <w:t xml:space="preserve"> which contradicts their religious beliefs</w:t>
      </w:r>
      <w:r w:rsidR="001427BF">
        <w:t>, you must do that for everyone</w:t>
      </w:r>
      <w:r w:rsidR="0066229A">
        <w:t>, equally,</w:t>
      </w:r>
      <w:r w:rsidR="001427BF">
        <w:t xml:space="preserve"> </w:t>
      </w:r>
      <w:r w:rsidR="005F742E">
        <w:t xml:space="preserve">on </w:t>
      </w:r>
      <w:r w:rsidR="0066229A">
        <w:t xml:space="preserve">all </w:t>
      </w:r>
      <w:r w:rsidR="005F742E">
        <w:t>other ground</w:t>
      </w:r>
      <w:r w:rsidR="000723D8">
        <w:t>s</w:t>
      </w:r>
      <w:r w:rsidR="009726D3">
        <w:t>.</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864AB1" w14:paraId="308E8448" w14:textId="77777777" w:rsidTr="00D34D52">
        <w:tc>
          <w:tcPr>
            <w:tcW w:w="8871" w:type="dxa"/>
            <w:tcMar>
              <w:bottom w:w="142" w:type="dxa"/>
            </w:tcMar>
          </w:tcPr>
          <w:p w14:paraId="390984E1" w14:textId="70883207" w:rsidR="00864AB1" w:rsidRDefault="00864AB1" w:rsidP="00D34D52">
            <w:pPr>
              <w:pStyle w:val="Heading3"/>
              <w:outlineLvl w:val="2"/>
            </w:pPr>
            <w:r>
              <w:t>Alternative recommendation</w:t>
            </w:r>
          </w:p>
          <w:p w14:paraId="1EB0A6D7" w14:textId="755CBA69" w:rsidR="00864AB1" w:rsidRDefault="00F57455" w:rsidP="00D34D52">
            <w:r>
              <w:t>Proposed subs</w:t>
            </w:r>
            <w:r w:rsidR="00864AB1">
              <w:t>ection 22</w:t>
            </w:r>
            <w:proofErr w:type="gramStart"/>
            <w:r w:rsidR="00864AB1">
              <w:t>Z(</w:t>
            </w:r>
            <w:proofErr w:type="gramEnd"/>
            <w:r w:rsidR="00864AB1">
              <w:t>2) should be removed.</w:t>
            </w:r>
            <w:r w:rsidR="0091356A">
              <w:t xml:space="preserve">  </w:t>
            </w:r>
          </w:p>
          <w:p w14:paraId="14836D53" w14:textId="1105C480" w:rsidR="00EC18BC" w:rsidRDefault="00EC18BC" w:rsidP="00D34D52">
            <w:r>
              <w:rPr>
                <w:rStyle w:val="PageNumber"/>
              </w:rPr>
              <w:t>Only natural persons should be protected under discrimination protections.</w:t>
            </w:r>
          </w:p>
          <w:p w14:paraId="3D3B8C9F" w14:textId="3E523078" w:rsidR="0091356A" w:rsidRDefault="001E686F" w:rsidP="00D34D52">
            <w:pPr>
              <w:rPr>
                <w:rStyle w:val="PageNumber"/>
              </w:rPr>
            </w:pPr>
            <w:r>
              <w:t>If s</w:t>
            </w:r>
            <w:r w:rsidR="00F57455">
              <w:t>ubs</w:t>
            </w:r>
            <w:r w:rsidR="00864AB1">
              <w:t>ection</w:t>
            </w:r>
            <w:r w:rsidR="00CD7425">
              <w:t>s</w:t>
            </w:r>
            <w:r w:rsidR="00864AB1">
              <w:t xml:space="preserve"> 22</w:t>
            </w:r>
            <w:proofErr w:type="gramStart"/>
            <w:r w:rsidR="00864AB1">
              <w:t>Z(</w:t>
            </w:r>
            <w:proofErr w:type="gramEnd"/>
            <w:r w:rsidR="00864AB1">
              <w:t xml:space="preserve">1) and (3) </w:t>
            </w:r>
            <w:r>
              <w:t xml:space="preserve">are to be introduced, they </w:t>
            </w:r>
            <w:r w:rsidR="00864AB1">
              <w:t xml:space="preserve">should apply to all protected grounds under the </w:t>
            </w:r>
            <w:r w:rsidR="0008590A">
              <w:t>ADA</w:t>
            </w:r>
            <w:r>
              <w:t>.</w:t>
            </w:r>
          </w:p>
        </w:tc>
      </w:tr>
    </w:tbl>
    <w:p w14:paraId="5D5A0821" w14:textId="67BC78FA" w:rsidR="002C6C52" w:rsidRDefault="00AF428F" w:rsidP="002C6C52">
      <w:pPr>
        <w:pStyle w:val="Heading2"/>
      </w:pPr>
      <w:bookmarkStart w:id="17" w:name="_Toc48921257"/>
      <w:r>
        <w:t>Privileging</w:t>
      </w:r>
      <w:r w:rsidR="002C6C52">
        <w:t xml:space="preserve"> </w:t>
      </w:r>
      <w:r w:rsidR="00B621A2">
        <w:t xml:space="preserve">religion </w:t>
      </w:r>
      <w:r w:rsidR="001B71B3">
        <w:t>over other human rights</w:t>
      </w:r>
      <w:r w:rsidR="000504DC">
        <w:t xml:space="preserve"> (s 3)</w:t>
      </w:r>
      <w:bookmarkEnd w:id="17"/>
    </w:p>
    <w:p w14:paraId="222EF1DD" w14:textId="7018F17D" w:rsidR="002A445A" w:rsidRDefault="00BE4404" w:rsidP="002A445A">
      <w:r>
        <w:t>The Bill</w:t>
      </w:r>
      <w:r w:rsidRPr="00BE4404">
        <w:t xml:space="preserve"> introduces an interpretative principle which </w:t>
      </w:r>
      <w:r w:rsidR="00B90DA6">
        <w:t>gives</w:t>
      </w:r>
      <w:r w:rsidR="00170FE5">
        <w:t xml:space="preserve"> </w:t>
      </w:r>
      <w:r w:rsidR="00B90DA6">
        <w:t>special consideration to</w:t>
      </w:r>
      <w:r w:rsidRPr="00BE4404">
        <w:t xml:space="preserve"> </w:t>
      </w:r>
      <w:r w:rsidR="00465918">
        <w:t>the manifestation of religio</w:t>
      </w:r>
      <w:r w:rsidR="004E2186">
        <w:t>n</w:t>
      </w:r>
      <w:r w:rsidRPr="00BE4404">
        <w:t xml:space="preserve"> when carrying out</w:t>
      </w:r>
      <w:r w:rsidR="0066229A">
        <w:t xml:space="preserve"> any</w:t>
      </w:r>
      <w:r w:rsidRPr="00BE4404">
        <w:t xml:space="preserve"> functions </w:t>
      </w:r>
      <w:r w:rsidR="0066229A">
        <w:t>or</w:t>
      </w:r>
      <w:r w:rsidRPr="00BE4404">
        <w:t xml:space="preserve"> making determinations under the </w:t>
      </w:r>
      <w:r w:rsidR="0066229A">
        <w:t>ADA</w:t>
      </w:r>
      <w:r w:rsidRPr="00BE4404">
        <w:t>.</w:t>
      </w:r>
      <w:r w:rsidR="004E2186">
        <w:t xml:space="preserve">  This provision complicate</w:t>
      </w:r>
      <w:r w:rsidR="0090542F">
        <w:t>s</w:t>
      </w:r>
      <w:r w:rsidR="004E2186">
        <w:t xml:space="preserve"> the assessment of all discrimination complaints </w:t>
      </w:r>
      <w:r w:rsidR="00151007">
        <w:t xml:space="preserve">under the </w:t>
      </w:r>
      <w:r w:rsidR="00A05271">
        <w:t>ADA</w:t>
      </w:r>
      <w:r w:rsidR="00613073">
        <w:t xml:space="preserve"> </w:t>
      </w:r>
      <w:r w:rsidR="00324D16">
        <w:t xml:space="preserve">and </w:t>
      </w:r>
      <w:r w:rsidR="00A05271">
        <w:t xml:space="preserve">will </w:t>
      </w:r>
      <w:r w:rsidR="00324D16">
        <w:t xml:space="preserve">lead to </w:t>
      </w:r>
      <w:r w:rsidR="00061647">
        <w:t>legal uncertainty and confusion</w:t>
      </w:r>
      <w:r w:rsidR="00A05271">
        <w:t xml:space="preserve"> in applying the ADA</w:t>
      </w:r>
      <w:r w:rsidR="0090542F">
        <w:t xml:space="preserve">. </w:t>
      </w:r>
    </w:p>
    <w:p w14:paraId="3A324BD3" w14:textId="77777777" w:rsidR="002B7059" w:rsidRDefault="00312153" w:rsidP="002A445A">
      <w:r>
        <w:t xml:space="preserve">Proposed section 3 would </w:t>
      </w:r>
      <w:r w:rsidR="00E21C47">
        <w:t>require</w:t>
      </w:r>
      <w:r w:rsidR="00D93D25">
        <w:t xml:space="preserve"> </w:t>
      </w:r>
      <w:r w:rsidR="00E21C47">
        <w:t xml:space="preserve">the Minister, Board, President, Tribunal and </w:t>
      </w:r>
      <w:r w:rsidR="003E473A">
        <w:t>c</w:t>
      </w:r>
      <w:r w:rsidR="00E21C47">
        <w:t>ourt</w:t>
      </w:r>
      <w:r w:rsidR="003E473A">
        <w:t>s</w:t>
      </w:r>
      <w:r w:rsidR="00E21C47">
        <w:t xml:space="preserve"> to have</w:t>
      </w:r>
      <w:r w:rsidR="00FD405D">
        <w:t xml:space="preserve"> ‘fundamental</w:t>
      </w:r>
      <w:r w:rsidR="00E21C47">
        <w:t xml:space="preserve"> regard</w:t>
      </w:r>
      <w:r w:rsidR="00FD405D">
        <w:t>’</w:t>
      </w:r>
      <w:r w:rsidR="00E21C47">
        <w:t xml:space="preserve"> to certain international </w:t>
      </w:r>
      <w:r w:rsidR="00FD405D">
        <w:t>instruments</w:t>
      </w:r>
      <w:r w:rsidR="003B1917">
        <w:t xml:space="preserve"> and</w:t>
      </w:r>
      <w:r w:rsidR="00FD405D">
        <w:t xml:space="preserve"> </w:t>
      </w:r>
      <w:r w:rsidR="00B1232F">
        <w:t xml:space="preserve">documents </w:t>
      </w:r>
      <w:r w:rsidR="00E21C47">
        <w:t xml:space="preserve">when carrying out functions and making determinations under the </w:t>
      </w:r>
      <w:r w:rsidR="0008590A">
        <w:t>ADA</w:t>
      </w:r>
      <w:r w:rsidR="00E21C47">
        <w:t xml:space="preserve">.  </w:t>
      </w:r>
      <w:r w:rsidR="006A08DE">
        <w:t xml:space="preserve">Rather than listing </w:t>
      </w:r>
      <w:r w:rsidR="00D837DB">
        <w:t>all</w:t>
      </w:r>
      <w:r w:rsidR="008F3A55">
        <w:t xml:space="preserve"> binding</w:t>
      </w:r>
      <w:r w:rsidR="00D837DB">
        <w:t xml:space="preserve"> human rights </w:t>
      </w:r>
      <w:r w:rsidR="00DC3730">
        <w:t>treaties, such as conventions on</w:t>
      </w:r>
      <w:r w:rsidR="001416D3">
        <w:t xml:space="preserve"> economic, social and cultural rights,</w:t>
      </w:r>
      <w:r w:rsidR="001416D3">
        <w:rPr>
          <w:rStyle w:val="FootnoteReference"/>
        </w:rPr>
        <w:footnoteReference w:id="32"/>
      </w:r>
      <w:r w:rsidR="00DC3730">
        <w:t xml:space="preserve"> racial discrimination,</w:t>
      </w:r>
      <w:r w:rsidR="001416D3">
        <w:rPr>
          <w:rStyle w:val="FootnoteReference"/>
        </w:rPr>
        <w:footnoteReference w:id="33"/>
      </w:r>
      <w:r w:rsidR="00DC3730">
        <w:t xml:space="preserve"> </w:t>
      </w:r>
      <w:r w:rsidR="007E1936">
        <w:t>sex discrimination</w:t>
      </w:r>
      <w:r w:rsidR="001416D3">
        <w:rPr>
          <w:rStyle w:val="FootnoteReference"/>
        </w:rPr>
        <w:footnoteReference w:id="34"/>
      </w:r>
      <w:r w:rsidR="006835DD">
        <w:t xml:space="preserve"> and people with disabilit</w:t>
      </w:r>
      <w:r w:rsidR="00B1232F">
        <w:t>ies</w:t>
      </w:r>
      <w:r w:rsidR="006835DD">
        <w:t>,</w:t>
      </w:r>
      <w:r w:rsidR="001416D3">
        <w:rPr>
          <w:rStyle w:val="FootnoteReference"/>
        </w:rPr>
        <w:footnoteReference w:id="35"/>
      </w:r>
      <w:r w:rsidR="006835DD">
        <w:t xml:space="preserve"> </w:t>
      </w:r>
      <w:r w:rsidR="00E413FB">
        <w:t>the pr</w:t>
      </w:r>
      <w:r w:rsidR="00F55E95">
        <w:t xml:space="preserve">ovision only </w:t>
      </w:r>
      <w:r w:rsidR="00A14E36">
        <w:t xml:space="preserve">lists </w:t>
      </w:r>
      <w:r w:rsidR="005A3C7C">
        <w:t>one</w:t>
      </w:r>
      <w:r w:rsidR="00BA758B">
        <w:t xml:space="preserve"> </w:t>
      </w:r>
      <w:r w:rsidR="00E868AF">
        <w:t xml:space="preserve">legally </w:t>
      </w:r>
      <w:r w:rsidR="00BA758B">
        <w:t>binding</w:t>
      </w:r>
      <w:r w:rsidR="005A3C7C">
        <w:t xml:space="preserve"> </w:t>
      </w:r>
      <w:r w:rsidR="00CA4FAA">
        <w:t>international covenant</w:t>
      </w:r>
      <w:r w:rsidR="008762E0">
        <w:t>,</w:t>
      </w:r>
      <w:r w:rsidR="002B535C">
        <w:rPr>
          <w:rStyle w:val="FootnoteReference"/>
        </w:rPr>
        <w:footnoteReference w:id="36"/>
      </w:r>
      <w:r w:rsidR="008762E0">
        <w:t xml:space="preserve"> a</w:t>
      </w:r>
      <w:r w:rsidR="00E868AF">
        <w:t xml:space="preserve"> non-binding</w:t>
      </w:r>
      <w:r w:rsidR="008762E0">
        <w:t xml:space="preserve"> declaration of the UN General Assembly</w:t>
      </w:r>
      <w:r w:rsidR="00B1232F">
        <w:t>,</w:t>
      </w:r>
      <w:r w:rsidR="002B535C">
        <w:rPr>
          <w:rStyle w:val="FootnoteReference"/>
        </w:rPr>
        <w:footnoteReference w:id="37"/>
      </w:r>
      <w:r w:rsidR="008762E0">
        <w:t xml:space="preserve"> and </w:t>
      </w:r>
      <w:r w:rsidR="002B535C">
        <w:t xml:space="preserve">interpretative </w:t>
      </w:r>
      <w:r w:rsidR="008762E0">
        <w:t xml:space="preserve">principles </w:t>
      </w:r>
      <w:r w:rsidR="000D2EE4">
        <w:t>enunciated by the UN Economic and Social Council</w:t>
      </w:r>
      <w:r w:rsidR="000903BC">
        <w:t xml:space="preserve"> on the ICCPR</w:t>
      </w:r>
      <w:r w:rsidR="000D2EE4">
        <w:t>.</w:t>
      </w:r>
      <w:r w:rsidR="002B535C">
        <w:rPr>
          <w:rStyle w:val="FootnoteReference"/>
        </w:rPr>
        <w:footnoteReference w:id="38"/>
      </w:r>
      <w:r w:rsidR="00025309">
        <w:t xml:space="preserve">  </w:t>
      </w:r>
      <w:r w:rsidR="00607B23">
        <w:t xml:space="preserve">Every function and determination under the </w:t>
      </w:r>
      <w:r w:rsidR="0008590A">
        <w:t>ADA</w:t>
      </w:r>
      <w:r w:rsidR="00607B23">
        <w:t xml:space="preserve"> </w:t>
      </w:r>
      <w:r w:rsidR="00D17332">
        <w:t>is</w:t>
      </w:r>
      <w:r w:rsidR="00607B23">
        <w:t xml:space="preserve"> </w:t>
      </w:r>
      <w:r w:rsidR="00974F48">
        <w:t>then required to give ‘fundamental regard’</w:t>
      </w:r>
      <w:r w:rsidR="00607B23">
        <w:t xml:space="preserve"> to t</w:t>
      </w:r>
      <w:r w:rsidR="00025309">
        <w:t>his cherry-picked list of binding</w:t>
      </w:r>
      <w:r w:rsidR="007E2617">
        <w:t xml:space="preserve"> instruments</w:t>
      </w:r>
      <w:r w:rsidR="00025309">
        <w:t xml:space="preserve"> and non-binding </w:t>
      </w:r>
      <w:r w:rsidR="007E2617">
        <w:t>material</w:t>
      </w:r>
      <w:r w:rsidR="00B1232F">
        <w:t>.</w:t>
      </w:r>
      <w:r w:rsidR="007332A8">
        <w:t xml:space="preserve">  </w:t>
      </w:r>
    </w:p>
    <w:p w14:paraId="6B5BF6C4" w14:textId="242D573B" w:rsidR="00516D20" w:rsidRDefault="007332A8" w:rsidP="002A445A">
      <w:r>
        <w:t xml:space="preserve">While </w:t>
      </w:r>
      <w:r w:rsidR="002B7059">
        <w:t>we support</w:t>
      </w:r>
      <w:r w:rsidR="004D7AC3">
        <w:t xml:space="preserve"> </w:t>
      </w:r>
      <w:r w:rsidR="002C5FCB">
        <w:t>having regard to international human rights principles when construing domestic legislation, the common law already allows decision-makers to do this</w:t>
      </w:r>
      <w:r w:rsidR="00CB45D3">
        <w:t xml:space="preserve"> in appropriate circumstances</w:t>
      </w:r>
      <w:r w:rsidR="002C5FCB">
        <w:t>,</w:t>
      </w:r>
      <w:r w:rsidR="00607B23">
        <w:rPr>
          <w:rStyle w:val="FootnoteReference"/>
        </w:rPr>
        <w:footnoteReference w:id="39"/>
      </w:r>
      <w:r w:rsidR="002C5FCB">
        <w:t xml:space="preserve"> </w:t>
      </w:r>
      <w:r w:rsidR="001742C9">
        <w:t>and it does so in a way which does not pick</w:t>
      </w:r>
      <w:r w:rsidR="00607B23">
        <w:t>-</w:t>
      </w:r>
      <w:r w:rsidR="001742C9">
        <w:t>and</w:t>
      </w:r>
      <w:r w:rsidR="00607B23">
        <w:t>-</w:t>
      </w:r>
      <w:r w:rsidR="001742C9">
        <w:t xml:space="preserve">choose which international </w:t>
      </w:r>
      <w:r w:rsidR="00313BCF">
        <w:t xml:space="preserve">law should be </w:t>
      </w:r>
      <w:r w:rsidR="00783BC7">
        <w:t>had regard to.</w:t>
      </w:r>
      <w:r w:rsidR="00607B23">
        <w:t xml:space="preserve">  </w:t>
      </w:r>
      <w:r w:rsidR="004D7AC3">
        <w:t xml:space="preserve">Accordingly, the purpose of this </w:t>
      </w:r>
      <w:r w:rsidR="004D7AC3">
        <w:lastRenderedPageBreak/>
        <w:t xml:space="preserve">provision appears to </w:t>
      </w:r>
      <w:r w:rsidR="00C07425">
        <w:t xml:space="preserve">go </w:t>
      </w:r>
      <w:r w:rsidR="00467C1E">
        <w:t xml:space="preserve">well </w:t>
      </w:r>
      <w:r w:rsidR="00C07425">
        <w:t xml:space="preserve">beyond </w:t>
      </w:r>
      <w:r w:rsidR="002448B3">
        <w:t>what the</w:t>
      </w:r>
      <w:r w:rsidR="00FB2C66">
        <w:t xml:space="preserve"> common law</w:t>
      </w:r>
      <w:r w:rsidR="002448B3">
        <w:t xml:space="preserve"> allows</w:t>
      </w:r>
      <w:r w:rsidR="00FB2C66">
        <w:t xml:space="preserve">, </w:t>
      </w:r>
      <w:r w:rsidR="00373392">
        <w:t>and to</w:t>
      </w:r>
      <w:r w:rsidR="00467C1E">
        <w:t>ward</w:t>
      </w:r>
      <w:r w:rsidR="00665893">
        <w:t>s</w:t>
      </w:r>
      <w:r w:rsidR="00373392">
        <w:t xml:space="preserve"> chang</w:t>
      </w:r>
      <w:r w:rsidR="00467C1E">
        <w:t>ing</w:t>
      </w:r>
      <w:r w:rsidR="00373392">
        <w:t xml:space="preserve"> </w:t>
      </w:r>
      <w:r w:rsidR="00920183">
        <w:t xml:space="preserve">outcomes </w:t>
      </w:r>
      <w:r w:rsidR="00FF4C30">
        <w:t xml:space="preserve">in </w:t>
      </w:r>
      <w:r w:rsidR="00CA23E0">
        <w:t>individual discrimination complaints</w:t>
      </w:r>
      <w:r w:rsidR="00467C1E">
        <w:t xml:space="preserve"> </w:t>
      </w:r>
      <w:r w:rsidR="00045A1C">
        <w:t>when questions of religion arise</w:t>
      </w:r>
      <w:r w:rsidR="00AF428F">
        <w:t>.</w:t>
      </w:r>
    </w:p>
    <w:p w14:paraId="305C3667" w14:textId="7D58768F" w:rsidR="008A0AAB" w:rsidRDefault="00613073" w:rsidP="00440FA4">
      <w:proofErr w:type="gramStart"/>
      <w:r>
        <w:t>In particular, p</w:t>
      </w:r>
      <w:r w:rsidR="00BF2406">
        <w:t>roposed</w:t>
      </w:r>
      <w:proofErr w:type="gramEnd"/>
      <w:r w:rsidR="00BF2406">
        <w:t xml:space="preserve"> </w:t>
      </w:r>
      <w:r w:rsidR="00FF4C30">
        <w:t xml:space="preserve">section </w:t>
      </w:r>
      <w:r w:rsidR="00F9365D">
        <w:t>3(2</w:t>
      </w:r>
      <w:r>
        <w:t xml:space="preserve">) </w:t>
      </w:r>
      <w:r w:rsidR="00F9365D">
        <w:t xml:space="preserve">provides </w:t>
      </w:r>
      <w:r w:rsidR="00C5678C">
        <w:t xml:space="preserve">a list of factors to consider </w:t>
      </w:r>
      <w:r w:rsidR="00EF1E04">
        <w:t xml:space="preserve">in </w:t>
      </w:r>
      <w:r w:rsidR="00311609">
        <w:t xml:space="preserve">ascertaining when it is necessary to </w:t>
      </w:r>
      <w:r w:rsidR="006062E3">
        <w:t xml:space="preserve">place limitations upon a person’s right to manifest their religion or belief. </w:t>
      </w:r>
      <w:r w:rsidR="00FF4C30">
        <w:t xml:space="preserve"> </w:t>
      </w:r>
      <w:r w:rsidR="002448B3">
        <w:t xml:space="preserve">But it is not clear how these factors </w:t>
      </w:r>
      <w:r w:rsidR="004F2C9E">
        <w:t>should</w:t>
      </w:r>
      <w:r w:rsidR="00C32ACC">
        <w:t>,</w:t>
      </w:r>
      <w:r w:rsidR="004F2C9E">
        <w:t xml:space="preserve"> or can be</w:t>
      </w:r>
      <w:r w:rsidR="00C32ACC">
        <w:t>,</w:t>
      </w:r>
      <w:r w:rsidR="004F2C9E">
        <w:t xml:space="preserve"> considered when </w:t>
      </w:r>
      <w:r w:rsidR="00FF2AF2">
        <w:t xml:space="preserve">interpreting and </w:t>
      </w:r>
      <w:r w:rsidR="00C32ACC">
        <w:t>applying the</w:t>
      </w:r>
      <w:r w:rsidR="00FF2AF2">
        <w:t xml:space="preserve"> </w:t>
      </w:r>
      <w:r w:rsidR="0008590A">
        <w:t>ADA</w:t>
      </w:r>
      <w:r w:rsidR="00C32ACC">
        <w:t xml:space="preserve">.  </w:t>
      </w:r>
      <w:r w:rsidR="00EA49C1">
        <w:t xml:space="preserve">This is because </w:t>
      </w:r>
      <w:r w:rsidR="00FF2AF2">
        <w:t>the words of</w:t>
      </w:r>
      <w:r w:rsidR="00F3351B">
        <w:t xml:space="preserve"> the </w:t>
      </w:r>
      <w:r w:rsidR="008A0AAB">
        <w:t>ADA</w:t>
      </w:r>
      <w:r w:rsidR="00F3351B">
        <w:t xml:space="preserve"> </w:t>
      </w:r>
      <w:r w:rsidR="00451C5E">
        <w:t>(</w:t>
      </w:r>
      <w:r w:rsidR="00F3351B">
        <w:t xml:space="preserve">as determined by </w:t>
      </w:r>
      <w:r w:rsidR="00451C5E">
        <w:t xml:space="preserve">NSW </w:t>
      </w:r>
      <w:r w:rsidR="00F3351B">
        <w:t>Parliament</w:t>
      </w:r>
      <w:r w:rsidR="00451C5E">
        <w:t>)</w:t>
      </w:r>
      <w:r w:rsidR="00F3351B">
        <w:t xml:space="preserve">, and not </w:t>
      </w:r>
      <w:r w:rsidR="00FF2AF2">
        <w:t xml:space="preserve">general propositions in </w:t>
      </w:r>
      <w:r w:rsidR="00F3351B">
        <w:t xml:space="preserve">international law, </w:t>
      </w:r>
      <w:r w:rsidR="006536F5">
        <w:t>ultimately</w:t>
      </w:r>
      <w:r w:rsidR="00F3351B">
        <w:t xml:space="preserve"> </w:t>
      </w:r>
      <w:r w:rsidR="00C32ACC">
        <w:t xml:space="preserve">dictate </w:t>
      </w:r>
      <w:r w:rsidR="0048465A">
        <w:t>how a</w:t>
      </w:r>
      <w:r w:rsidR="00F205C2">
        <w:t xml:space="preserve"> </w:t>
      </w:r>
      <w:r w:rsidR="00F3351B">
        <w:t>decision-maker</w:t>
      </w:r>
      <w:r w:rsidR="00F205C2">
        <w:t xml:space="preserve"> </w:t>
      </w:r>
      <w:r w:rsidR="00FF2AF2">
        <w:t>must</w:t>
      </w:r>
      <w:r w:rsidR="0048465A">
        <w:t xml:space="preserve"> carry out their </w:t>
      </w:r>
      <w:r w:rsidR="00451C5E">
        <w:t xml:space="preserve">functions </w:t>
      </w:r>
      <w:r w:rsidR="003629AF">
        <w:t>or</w:t>
      </w:r>
      <w:r w:rsidR="00451C5E">
        <w:t xml:space="preserve"> mak</w:t>
      </w:r>
      <w:r w:rsidR="00F205C2">
        <w:t>e</w:t>
      </w:r>
      <w:r w:rsidR="00451C5E">
        <w:t xml:space="preserve"> determinations.</w:t>
      </w:r>
      <w:r w:rsidR="00440FA4">
        <w:t xml:space="preserve">  </w:t>
      </w:r>
      <w:r w:rsidR="008A0AAB">
        <w:t xml:space="preserve">The ADA uses legal concepts </w:t>
      </w:r>
      <w:r w:rsidR="000E4636">
        <w:t>such as</w:t>
      </w:r>
      <w:r w:rsidR="008A0AAB">
        <w:t xml:space="preserve"> ‘reasonableness’</w:t>
      </w:r>
      <w:r w:rsidR="002A325F">
        <w:rPr>
          <w:rStyle w:val="FootnoteReference"/>
        </w:rPr>
        <w:footnoteReference w:id="40"/>
      </w:r>
      <w:r w:rsidR="008A0AAB">
        <w:t>, ‘unjustified hardship’</w:t>
      </w:r>
      <w:r w:rsidR="008F3393">
        <w:rPr>
          <w:rStyle w:val="FootnoteReference"/>
        </w:rPr>
        <w:footnoteReference w:id="41"/>
      </w:r>
      <w:r w:rsidR="00F80C44">
        <w:t xml:space="preserve"> and ‘religious susceptibilities’</w:t>
      </w:r>
      <w:r w:rsidR="008F3393">
        <w:rPr>
          <w:rStyle w:val="FootnoteReference"/>
        </w:rPr>
        <w:footnoteReference w:id="42"/>
      </w:r>
      <w:r w:rsidR="00F80C44">
        <w:t xml:space="preserve"> which are </w:t>
      </w:r>
      <w:r w:rsidR="000E4636">
        <w:t>foreign to</w:t>
      </w:r>
      <w:r w:rsidR="00DB1108">
        <w:t>, and in some cases contradict, international legal principles</w:t>
      </w:r>
      <w:r w:rsidR="00421521">
        <w:t xml:space="preserve"> </w:t>
      </w:r>
      <w:r w:rsidR="00DB1108">
        <w:t>such as</w:t>
      </w:r>
      <w:r w:rsidR="00421521">
        <w:t xml:space="preserve"> the</w:t>
      </w:r>
      <w:r w:rsidR="00DB1108">
        <w:t xml:space="preserve"> proportionality</w:t>
      </w:r>
      <w:r w:rsidR="00421521">
        <w:t xml:space="preserve"> doctrine</w:t>
      </w:r>
      <w:r w:rsidR="00857C54">
        <w:t xml:space="preserve"> which is being ref</w:t>
      </w:r>
      <w:r w:rsidR="005A0829">
        <w:t>erred to in the  proposed section 3(2)</w:t>
      </w:r>
      <w:r w:rsidR="00DB1108">
        <w:t xml:space="preserve">.  To say that you must </w:t>
      </w:r>
      <w:r w:rsidR="00421521">
        <w:t>make determinations</w:t>
      </w:r>
      <w:r w:rsidR="008753E5">
        <w:t xml:space="preserve"> having regard to international legal principles, some of which have not been adopted by the ADA, makes </w:t>
      </w:r>
      <w:r w:rsidR="009D27B6">
        <w:t xml:space="preserve">the ADA </w:t>
      </w:r>
      <w:r w:rsidR="00572E52">
        <w:t xml:space="preserve">more legally complex </w:t>
      </w:r>
      <w:r w:rsidR="00E373BC">
        <w:t xml:space="preserve">and unpredictable </w:t>
      </w:r>
      <w:r w:rsidR="00572E52">
        <w:t>than it already is</w:t>
      </w:r>
      <w:r w:rsidR="009D27B6">
        <w:t>.</w:t>
      </w:r>
      <w:r w:rsidR="005A0829">
        <w:t xml:space="preserve">  If you want the ADA to reflect international human rights law, </w:t>
      </w:r>
      <w:r w:rsidR="009B69F1">
        <w:t>you need to amend the language of the ADA itself, not merely have regard to these principles.</w:t>
      </w:r>
    </w:p>
    <w:p w14:paraId="5192A537" w14:textId="6970DBD2" w:rsidR="002C2582" w:rsidRDefault="00197471" w:rsidP="002A445A">
      <w:r>
        <w:t xml:space="preserve">Take, for example, a discrimination complaint brought by a person with a guide dog who is </w:t>
      </w:r>
      <w:r w:rsidR="009F769F">
        <w:t>denied access to a taxi by a driver that believes</w:t>
      </w:r>
      <w:r w:rsidR="00F446C1">
        <w:t xml:space="preserve"> that</w:t>
      </w:r>
      <w:r w:rsidR="009F769F">
        <w:t xml:space="preserve"> dogs are unclean.  </w:t>
      </w:r>
      <w:r w:rsidR="00F446C1">
        <w:t xml:space="preserve">Does the </w:t>
      </w:r>
      <w:r w:rsidR="00AC54C0">
        <w:t xml:space="preserve">right of the taxi driver to manifest their religious beliefs override the right of the </w:t>
      </w:r>
      <w:r w:rsidR="00F8495D">
        <w:t xml:space="preserve">blind customer to </w:t>
      </w:r>
      <w:r w:rsidR="00292E08">
        <w:t>non-discriminatory</w:t>
      </w:r>
      <w:r w:rsidR="001157ED">
        <w:t xml:space="preserve"> public transportation?</w:t>
      </w:r>
      <w:r w:rsidR="00DA4C1A">
        <w:t xml:space="preserve">  Currently, the </w:t>
      </w:r>
      <w:r w:rsidR="0008590A">
        <w:t>ADA</w:t>
      </w:r>
      <w:r w:rsidR="00DA4C1A">
        <w:t xml:space="preserve"> </w:t>
      </w:r>
      <w:r w:rsidR="0079343C">
        <w:t xml:space="preserve">has a framework for </w:t>
      </w:r>
      <w:r w:rsidR="00F90D46">
        <w:t>resolving that question.  The decision-maker would look to the definition of discrimination</w:t>
      </w:r>
      <w:r w:rsidR="00611F1F">
        <w:t xml:space="preserve"> and</w:t>
      </w:r>
      <w:r w:rsidR="00F90D46">
        <w:t xml:space="preserve"> </w:t>
      </w:r>
      <w:r w:rsidR="00C16AD5">
        <w:t>consider whether any exemptions applied</w:t>
      </w:r>
      <w:r w:rsidR="00292E08">
        <w:t xml:space="preserve">.  They would </w:t>
      </w:r>
      <w:r w:rsidR="008D142F">
        <w:t xml:space="preserve">conduct any balancing of </w:t>
      </w:r>
      <w:r w:rsidR="00611F1F">
        <w:t>competing rights and interests</w:t>
      </w:r>
      <w:r w:rsidR="00EF2F40">
        <w:t xml:space="preserve"> (including impacts on t</w:t>
      </w:r>
      <w:r w:rsidR="00C665D6">
        <w:t>he freedom of religion)</w:t>
      </w:r>
      <w:r w:rsidR="00611F1F">
        <w:t xml:space="preserve"> through the lens of well-</w:t>
      </w:r>
      <w:r w:rsidR="00292E08">
        <w:t>worn</w:t>
      </w:r>
      <w:r w:rsidR="00611F1F">
        <w:t xml:space="preserve"> legal tests and defences</w:t>
      </w:r>
      <w:r w:rsidR="003E45B6">
        <w:t>,</w:t>
      </w:r>
      <w:r w:rsidR="00611F1F">
        <w:t xml:space="preserve"> such as, the </w:t>
      </w:r>
      <w:r w:rsidR="00871381">
        <w:t>‘</w:t>
      </w:r>
      <w:r w:rsidR="00611F1F">
        <w:t>reasonableness</w:t>
      </w:r>
      <w:r w:rsidR="00871381">
        <w:t>’</w:t>
      </w:r>
      <w:r w:rsidR="00611F1F">
        <w:t xml:space="preserve"> test </w:t>
      </w:r>
      <w:r w:rsidR="00871381">
        <w:t>under the definition of</w:t>
      </w:r>
      <w:r w:rsidR="00611F1F">
        <w:t xml:space="preserve"> indirect discrimination and the </w:t>
      </w:r>
      <w:r w:rsidR="009D2E98">
        <w:t>‘unjustifiable hardship’ defence.</w:t>
      </w:r>
      <w:r w:rsidR="00D8056C">
        <w:rPr>
          <w:rStyle w:val="FootnoteReference"/>
        </w:rPr>
        <w:footnoteReference w:id="43"/>
      </w:r>
      <w:r w:rsidR="008C7018">
        <w:t xml:space="preserve">  Proposed </w:t>
      </w:r>
      <w:r w:rsidR="00871381">
        <w:t>sub</w:t>
      </w:r>
      <w:r w:rsidR="008C7018">
        <w:t>section</w:t>
      </w:r>
      <w:r w:rsidR="00871381">
        <w:t xml:space="preserve"> 3</w:t>
      </w:r>
      <w:r w:rsidR="008C7018">
        <w:t xml:space="preserve">(2) </w:t>
      </w:r>
      <w:r w:rsidR="003E45B6">
        <w:t xml:space="preserve">would </w:t>
      </w:r>
      <w:r w:rsidR="006725EA">
        <w:t xml:space="preserve">instead </w:t>
      </w:r>
      <w:r w:rsidR="008C7018">
        <w:t xml:space="preserve">direct the decision-maker to </w:t>
      </w:r>
      <w:r w:rsidR="0046687E">
        <w:t xml:space="preserve">consider </w:t>
      </w:r>
      <w:r w:rsidR="0022161A">
        <w:t xml:space="preserve">the principle of proportionality which is </w:t>
      </w:r>
      <w:r w:rsidR="00871381">
        <w:t xml:space="preserve">foreign to the ADA, </w:t>
      </w:r>
      <w:r w:rsidR="008C7018">
        <w:t xml:space="preserve">such as whether </w:t>
      </w:r>
      <w:r w:rsidR="00650D8D">
        <w:t>the means adopted ‘are not more restrictive… than are required for the achievement of the purpose of the limitation’.</w:t>
      </w:r>
      <w:r w:rsidR="00046994">
        <w:t xml:space="preserve">  Th</w:t>
      </w:r>
      <w:r w:rsidR="0078087B">
        <w:t xml:space="preserve">is is </w:t>
      </w:r>
      <w:r w:rsidR="0046687E">
        <w:t xml:space="preserve">a </w:t>
      </w:r>
      <w:r w:rsidR="00046994">
        <w:t xml:space="preserve">legal test that the NSW Parliament has rejected </w:t>
      </w:r>
      <w:r w:rsidR="003D5CC7">
        <w:t>in adopting the language of ‘reasonableness’ and ‘unjustifiable hardship</w:t>
      </w:r>
      <w:r w:rsidR="0078087B">
        <w:t xml:space="preserve">’.  </w:t>
      </w:r>
      <w:r w:rsidR="0072641D">
        <w:t xml:space="preserve">Reintroducing concepts which the NSW Parliament has not adopted </w:t>
      </w:r>
      <w:r w:rsidR="007A71C4">
        <w:t xml:space="preserve">only serves to confuse the matter.  </w:t>
      </w:r>
      <w:r w:rsidR="002C2582">
        <w:t xml:space="preserve">Accordingly, </w:t>
      </w:r>
      <w:r w:rsidR="007A71C4">
        <w:t xml:space="preserve">the whole of </w:t>
      </w:r>
      <w:r w:rsidR="002C2582">
        <w:t xml:space="preserve">proposed </w:t>
      </w:r>
      <w:r w:rsidR="482B5FFD">
        <w:t xml:space="preserve">section </w:t>
      </w:r>
      <w:r w:rsidR="002C2582">
        <w:t>3 is</w:t>
      </w:r>
      <w:r w:rsidR="0046687E">
        <w:t>,</w:t>
      </w:r>
      <w:r w:rsidR="002C2582">
        <w:t xml:space="preserve"> at best</w:t>
      </w:r>
      <w:r w:rsidR="00EA76F4">
        <w:t>,</w:t>
      </w:r>
      <w:r w:rsidR="002C2582">
        <w:t xml:space="preserve"> unnecessary, </w:t>
      </w:r>
      <w:r w:rsidR="00EE3E5B">
        <w:t>and at worst, legally uncertain and confusing.</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F95F35" w14:paraId="68BF6051" w14:textId="77777777" w:rsidTr="00D34D52">
        <w:tc>
          <w:tcPr>
            <w:tcW w:w="8871" w:type="dxa"/>
            <w:tcMar>
              <w:bottom w:w="142" w:type="dxa"/>
            </w:tcMar>
          </w:tcPr>
          <w:p w14:paraId="2049B55C" w14:textId="77777777" w:rsidR="00F95F35" w:rsidRDefault="00F95F35" w:rsidP="00D34D52">
            <w:pPr>
              <w:pStyle w:val="Heading3"/>
              <w:outlineLvl w:val="2"/>
            </w:pPr>
            <w:r>
              <w:t>Alternative recommendation</w:t>
            </w:r>
          </w:p>
          <w:p w14:paraId="15A4A7A0" w14:textId="5FA6FA38" w:rsidR="00F95F35" w:rsidRDefault="00F95F35" w:rsidP="00D34D52">
            <w:pPr>
              <w:rPr>
                <w:rStyle w:val="PageNumber"/>
              </w:rPr>
            </w:pPr>
            <w:r>
              <w:rPr>
                <w:rStyle w:val="PageNumber"/>
              </w:rPr>
              <w:t>Section 3</w:t>
            </w:r>
            <w:r w:rsidR="00EE3E5B">
              <w:rPr>
                <w:rStyle w:val="PageNumber"/>
              </w:rPr>
              <w:t xml:space="preserve"> </w:t>
            </w:r>
            <w:r>
              <w:rPr>
                <w:rStyle w:val="PageNumber"/>
              </w:rPr>
              <w:t>should be removed.</w:t>
            </w:r>
          </w:p>
        </w:tc>
      </w:tr>
    </w:tbl>
    <w:p w14:paraId="4B6249D4" w14:textId="36F8C398" w:rsidR="002C6C52" w:rsidRDefault="002C6C52" w:rsidP="002C6C52">
      <w:pPr>
        <w:pStyle w:val="Heading2"/>
      </w:pPr>
      <w:bookmarkStart w:id="18" w:name="_Ref48750666"/>
      <w:bookmarkStart w:id="19" w:name="_Toc48921258"/>
      <w:r>
        <w:t>Protecting unlawful and unprofessional conduct</w:t>
      </w:r>
      <w:bookmarkEnd w:id="18"/>
      <w:r w:rsidR="00F845BC">
        <w:t xml:space="preserve"> (definitions of ‘religious activities’ and ‘religious beliefs’)</w:t>
      </w:r>
      <w:bookmarkEnd w:id="19"/>
    </w:p>
    <w:p w14:paraId="14B72103" w14:textId="2EEDD0E1" w:rsidR="002C6C52" w:rsidRDefault="003914F1" w:rsidP="002C6C52">
      <w:r>
        <w:t>T</w:t>
      </w:r>
      <w:r w:rsidR="002C6C52">
        <w:t xml:space="preserve">his Bill affords discrimination protection to people who breach laws and professional obligations </w:t>
      </w:r>
      <w:r w:rsidR="00CA05CF">
        <w:t>if</w:t>
      </w:r>
      <w:r w:rsidR="002C6C52">
        <w:t xml:space="preserve"> those breaches are ‘motivated’ by a religious belief and do not amount to imprisonable crimes.</w:t>
      </w:r>
      <w:r w:rsidR="00101DFB">
        <w:rPr>
          <w:rStyle w:val="FootnoteReference"/>
        </w:rPr>
        <w:footnoteReference w:id="44"/>
      </w:r>
    </w:p>
    <w:p w14:paraId="4A54CC7C" w14:textId="486B37F6" w:rsidR="00E52E8B" w:rsidRDefault="00CA05CF" w:rsidP="002C6C52">
      <w:r>
        <w:t xml:space="preserve">The definition of ‘religious activity’ in the Bill </w:t>
      </w:r>
      <w:r w:rsidR="002C6C52">
        <w:t>has the effect of protecting a broad range of potential misconduct, such as</w:t>
      </w:r>
      <w:r w:rsidR="00E52E8B">
        <w:t>:</w:t>
      </w:r>
      <w:r w:rsidR="002C6C52">
        <w:t xml:space="preserve"> </w:t>
      </w:r>
    </w:p>
    <w:p w14:paraId="49E7861B" w14:textId="310AEF0D" w:rsidR="00E52E8B" w:rsidRDefault="002C6C52" w:rsidP="00E52E8B">
      <w:pPr>
        <w:pStyle w:val="Bullet"/>
      </w:pPr>
      <w:r>
        <w:lastRenderedPageBreak/>
        <w:t>breaches of civil and professional obligations (such as those regulating the conduct of health professionals, lawyers and other professions)</w:t>
      </w:r>
      <w:r w:rsidR="00290E22">
        <w:t>;</w:t>
      </w:r>
      <w:r>
        <w:t xml:space="preserve"> </w:t>
      </w:r>
    </w:p>
    <w:p w14:paraId="5EA17422" w14:textId="041B8849" w:rsidR="00E52E8B" w:rsidRDefault="002C6C52" w:rsidP="00E52E8B">
      <w:pPr>
        <w:pStyle w:val="Bullet"/>
      </w:pPr>
      <w:r>
        <w:t>equitable and tortious obligations (such as the law of negligence or obligations of confidence)</w:t>
      </w:r>
      <w:r w:rsidR="00290E22">
        <w:t>;</w:t>
      </w:r>
      <w:r>
        <w:t xml:space="preserve"> </w:t>
      </w:r>
    </w:p>
    <w:p w14:paraId="29120343" w14:textId="68F2D016" w:rsidR="00E52E8B" w:rsidRDefault="002C6C52" w:rsidP="00E52E8B">
      <w:pPr>
        <w:pStyle w:val="Bullet"/>
      </w:pPr>
      <w:r>
        <w:t>anti-vilification and anti-discrimination obligations</w:t>
      </w:r>
      <w:r w:rsidR="00290E22">
        <w:t>;</w:t>
      </w:r>
      <w:r>
        <w:t xml:space="preserve"> and </w:t>
      </w:r>
    </w:p>
    <w:p w14:paraId="507A1F25" w14:textId="10378597" w:rsidR="002C6C52" w:rsidRDefault="002C6C52" w:rsidP="00E52E8B">
      <w:pPr>
        <w:pStyle w:val="Bullet"/>
      </w:pPr>
      <w:r>
        <w:t>certain criminal offences</w:t>
      </w:r>
      <w:r w:rsidR="00E52E8B">
        <w:t xml:space="preserve"> which do not impose potential penalties of imprisonment</w:t>
      </w:r>
      <w:r>
        <w:t>.</w:t>
      </w:r>
    </w:p>
    <w:p w14:paraId="3B150C2A" w14:textId="54142197" w:rsidR="00C61A7D" w:rsidRDefault="002C6C52" w:rsidP="004F6E24">
      <w:pPr>
        <w:keepNext/>
      </w:pPr>
      <w:r>
        <w:t>For example</w:t>
      </w:r>
      <w:r w:rsidR="004C71C7">
        <w:t>, most professional standards applying to health professionals operate by way of codes of conduct.</w:t>
      </w:r>
      <w:r w:rsidR="00985D54">
        <w:t xml:space="preserve">  Breach</w:t>
      </w:r>
      <w:r w:rsidR="00F845BC">
        <w:t>es</w:t>
      </w:r>
      <w:r w:rsidR="00985D54">
        <w:t xml:space="preserve"> of these codes </w:t>
      </w:r>
      <w:r w:rsidR="001D08ED">
        <w:t xml:space="preserve">may give rise to disciplinary actions, </w:t>
      </w:r>
      <w:r w:rsidR="006E40AC">
        <w:t xml:space="preserve">such as the ability to caution or reprimand the </w:t>
      </w:r>
      <w:r w:rsidR="00315A8B">
        <w:t>practitioner</w:t>
      </w:r>
      <w:r w:rsidR="006E40AC">
        <w:t xml:space="preserve">, impose </w:t>
      </w:r>
      <w:r w:rsidR="00315A8B">
        <w:t>conditions</w:t>
      </w:r>
      <w:r w:rsidR="006E40AC">
        <w:t xml:space="preserve"> on the practitioner’s registration, </w:t>
      </w:r>
      <w:r w:rsidR="00315A8B">
        <w:t xml:space="preserve">or order that the </w:t>
      </w:r>
      <w:r w:rsidR="00282464">
        <w:t>practitioner</w:t>
      </w:r>
      <w:r w:rsidR="00315A8B">
        <w:t xml:space="preserve"> </w:t>
      </w:r>
      <w:r w:rsidR="002530DA">
        <w:t>seek and undergo</w:t>
      </w:r>
      <w:r w:rsidR="00282464">
        <w:t xml:space="preserve"> counselling.</w:t>
      </w:r>
      <w:r w:rsidR="00282464">
        <w:rPr>
          <w:rStyle w:val="FootnoteReference"/>
        </w:rPr>
        <w:footnoteReference w:id="45"/>
      </w:r>
      <w:r w:rsidR="00481AB3">
        <w:t xml:space="preserve"> </w:t>
      </w:r>
      <w:r w:rsidR="00CA05CF">
        <w:t xml:space="preserve"> Rarely, if ever, do they amount to imprisonable crimes</w:t>
      </w:r>
      <w:r w:rsidR="00C61A7D">
        <w:t xml:space="preserve">, meaning that a doctor could be protected </w:t>
      </w:r>
      <w:r w:rsidR="00F845BC">
        <w:t xml:space="preserve">from </w:t>
      </w:r>
      <w:r w:rsidR="00C61A7D">
        <w:t>consequences if they breach these professional standards because of a religious belief.</w:t>
      </w:r>
      <w:r w:rsidR="00CA05CF">
        <w:t xml:space="preserve">  </w:t>
      </w:r>
    </w:p>
    <w:p w14:paraId="7809AAFA" w14:textId="50D8F1DD" w:rsidR="002C6C52" w:rsidRDefault="00CA05CF" w:rsidP="004F6E24">
      <w:pPr>
        <w:keepNext/>
      </w:pPr>
      <w:r>
        <w:t>As an example, t</w:t>
      </w:r>
      <w:r w:rsidR="00985D54">
        <w:t xml:space="preserve">he Medical Board of Australia has developed the </w:t>
      </w:r>
      <w:r w:rsidR="00985D54">
        <w:rPr>
          <w:i/>
          <w:iCs/>
        </w:rPr>
        <w:t xml:space="preserve">Good Medical Practice: A Code of Conduct for Doctors in Australia.  </w:t>
      </w:r>
      <w:r>
        <w:t xml:space="preserve">It provides </w:t>
      </w:r>
      <w:r w:rsidR="007853B4">
        <w:t>standards</w:t>
      </w:r>
      <w:r>
        <w:t xml:space="preserve"> regulating the conduct of doctors, such as:</w:t>
      </w:r>
    </w:p>
    <w:p w14:paraId="6A8A7802" w14:textId="3986476D" w:rsidR="007853B4" w:rsidRDefault="007853B4" w:rsidP="00D728BA">
      <w:pPr>
        <w:pStyle w:val="Bullet"/>
      </w:pPr>
      <w:r>
        <w:t xml:space="preserve">provisions on </w:t>
      </w:r>
      <w:r w:rsidR="00D728BA">
        <w:t xml:space="preserve">culturally safe and sensitive practice, which </w:t>
      </w:r>
      <w:r w:rsidR="00C61A7D">
        <w:t>include</w:t>
      </w:r>
      <w:r w:rsidR="00D728BA">
        <w:t xml:space="preserve"> </w:t>
      </w:r>
      <w:r w:rsidR="00D728BA" w:rsidRPr="00D728BA">
        <w:rPr>
          <w:i/>
          <w:iCs/>
        </w:rPr>
        <w:t>‘</w:t>
      </w:r>
      <w:r w:rsidR="00C61A7D">
        <w:rPr>
          <w:i/>
          <w:iCs/>
        </w:rPr>
        <w:t>u</w:t>
      </w:r>
      <w:r w:rsidR="00D728BA" w:rsidRPr="00D728BA">
        <w:rPr>
          <w:i/>
          <w:iCs/>
        </w:rPr>
        <w:t>nderstanding that your own culture and beliefs influence your interactions with patients and ensuring that this does not unduly influence your decision-making’</w:t>
      </w:r>
      <w:r w:rsidR="00D728BA">
        <w:t>;</w:t>
      </w:r>
      <w:r w:rsidR="00D728BA">
        <w:rPr>
          <w:rStyle w:val="FootnoteReference"/>
        </w:rPr>
        <w:footnoteReference w:id="46"/>
      </w:r>
    </w:p>
    <w:p w14:paraId="0BA94BB9" w14:textId="587AF2F9" w:rsidR="009A6176" w:rsidRDefault="00612E74" w:rsidP="009A6176">
      <w:pPr>
        <w:pStyle w:val="Bullet"/>
      </w:pPr>
      <w:r>
        <w:t xml:space="preserve">conditions on the ability to </w:t>
      </w:r>
      <w:r w:rsidR="00C61A7D">
        <w:t>conscientiously object to direct participation</w:t>
      </w:r>
      <w:r w:rsidR="00FF4324">
        <w:t xml:space="preserve"> in treatments</w:t>
      </w:r>
      <w:r>
        <w:t xml:space="preserve">, </w:t>
      </w:r>
      <w:r w:rsidR="009A6176">
        <w:t xml:space="preserve">including </w:t>
      </w:r>
      <w:r w:rsidR="009A6176" w:rsidRPr="009A6176">
        <w:rPr>
          <w:i/>
          <w:iCs/>
        </w:rPr>
        <w:t>‘informing your patients and, if relevant, colleagues, of your objection, and not using your objection to impede access to treatments that are legal’</w:t>
      </w:r>
      <w:r w:rsidR="009A6176">
        <w:t>;</w:t>
      </w:r>
      <w:r w:rsidR="00A5243B">
        <w:rPr>
          <w:rStyle w:val="FootnoteReference"/>
        </w:rPr>
        <w:footnoteReference w:id="47"/>
      </w:r>
    </w:p>
    <w:p w14:paraId="16BDD49A" w14:textId="7509D7F4" w:rsidR="009A6176" w:rsidRDefault="00A5243B" w:rsidP="009A6176">
      <w:pPr>
        <w:pStyle w:val="Bullet"/>
      </w:pPr>
      <w:r>
        <w:t>not allowing moral or religious views to deny patients access to medical care.</w:t>
      </w:r>
      <w:r>
        <w:rPr>
          <w:rStyle w:val="FootnoteReference"/>
        </w:rPr>
        <w:footnoteReference w:id="48"/>
      </w:r>
    </w:p>
    <w:p w14:paraId="2E45B99F" w14:textId="71A7E532" w:rsidR="002C6C52" w:rsidRDefault="0021685A" w:rsidP="0021685A">
      <w:r>
        <w:t>A</w:t>
      </w:r>
      <w:r w:rsidR="002C6C52">
        <w:t xml:space="preserve"> doctor </w:t>
      </w:r>
      <w:r>
        <w:t xml:space="preserve">who </w:t>
      </w:r>
      <w:r w:rsidR="002C6C52">
        <w:t>refus</w:t>
      </w:r>
      <w:r>
        <w:t>ed</w:t>
      </w:r>
      <w:r w:rsidR="002C6C52">
        <w:t xml:space="preserve"> to provide a patient with information about contraception, abortion or the availability of emerging stem cell based treatments due to </w:t>
      </w:r>
      <w:r w:rsidR="00866742">
        <w:t xml:space="preserve">their </w:t>
      </w:r>
      <w:r w:rsidR="002C6C52">
        <w:t>religious views could claim religious discrimination if they were disciplined for breaching professional standards requiring them to not allow their religious views to deny patients access to medical care, even if they are not willing to provide that care treatment themselves</w:t>
      </w:r>
      <w:r w:rsidR="00CF691C">
        <w:t>.</w:t>
      </w:r>
      <w:r w:rsidR="008D5968">
        <w:t xml:space="preserve">  This Bill therefore appears to allow individuals to challenge professional standards that regulate conscientious objection and requirements to provide referrals or information to patients when a conscientious objection is raised.</w:t>
      </w:r>
    </w:p>
    <w:p w14:paraId="06BDB361" w14:textId="406DA837" w:rsidR="00662760" w:rsidRDefault="008D5968" w:rsidP="009A557A">
      <w:r>
        <w:t>F</w:t>
      </w:r>
      <w:r w:rsidR="00F53DF5">
        <w:t xml:space="preserve">or </w:t>
      </w:r>
      <w:r>
        <w:t xml:space="preserve">the separate </w:t>
      </w:r>
      <w:r w:rsidR="00F53DF5">
        <w:t>protections based on a person’s religious belief, there</w:t>
      </w:r>
      <w:r>
        <w:t xml:space="preserve"> also</w:t>
      </w:r>
      <w:r w:rsidR="00F53DF5">
        <w:t xml:space="preserve"> appear to be no limitations</w:t>
      </w:r>
      <w:r w:rsidR="00F845BC">
        <w:t xml:space="preserve"> set as to whether that belief, or characteristics appertaining or imputed to that belief, can inclu</w:t>
      </w:r>
      <w:r w:rsidR="00602A5B">
        <w:t>d</w:t>
      </w:r>
      <w:r w:rsidR="00F845BC">
        <w:t>e ‘actions, refusals, omissions or expressions’ which are otherwise unlawful</w:t>
      </w:r>
      <w:r w:rsidR="002E2452">
        <w:t>.</w:t>
      </w:r>
      <w:r w:rsidR="000E4409">
        <w:rPr>
          <w:rStyle w:val="FootnoteReference"/>
        </w:rPr>
        <w:footnoteReference w:id="49"/>
      </w:r>
      <w:r w:rsidR="002E2452">
        <w:t xml:space="preserve">  </w:t>
      </w:r>
      <w:r w:rsidR="00602A5B">
        <w:t>It</w:t>
      </w:r>
      <w:r w:rsidR="000E4409">
        <w:t>’s</w:t>
      </w:r>
      <w:r w:rsidR="00602A5B">
        <w:t xml:space="preserve"> unclear whether </w:t>
      </w:r>
      <w:r w:rsidR="002E2452">
        <w:t xml:space="preserve">beliefs which </w:t>
      </w:r>
      <w:r w:rsidR="00917352">
        <w:t>advocate for breaches of the law could be protected</w:t>
      </w:r>
      <w:r w:rsidR="00904496">
        <w:t xml:space="preserve">, and </w:t>
      </w:r>
      <w:r w:rsidR="00602A5B">
        <w:t xml:space="preserve">whether </w:t>
      </w:r>
      <w:r w:rsidR="00904496">
        <w:t xml:space="preserve">it may be unlawful for an employer, school or qualifying body to </w:t>
      </w:r>
      <w:r w:rsidR="00621697">
        <w:t>prevent or deter</w:t>
      </w:r>
      <w:r w:rsidR="00AE0675">
        <w:t xml:space="preserve"> a person who </w:t>
      </w:r>
      <w:r w:rsidR="00F50A58">
        <w:t xml:space="preserve">encouraged </w:t>
      </w:r>
      <w:r w:rsidR="00172229">
        <w:t xml:space="preserve">or excused </w:t>
      </w:r>
      <w:r w:rsidR="000A2D43">
        <w:t>breaches of the law</w:t>
      </w:r>
      <w:r w:rsidR="00535355">
        <w:t xml:space="preserve"> based on their religious beliefs</w:t>
      </w:r>
      <w:r w:rsidR="00172229">
        <w:t>.</w:t>
      </w:r>
      <w:r w:rsidR="00F64235">
        <w:t xml:space="preserve">  There is, for example, no </w:t>
      </w:r>
      <w:r w:rsidR="000112B0">
        <w:t xml:space="preserve">exemptions </w:t>
      </w:r>
      <w:r w:rsidR="00496B25">
        <w:t xml:space="preserve">under this Bill </w:t>
      </w:r>
      <w:r w:rsidR="00602A5B">
        <w:t xml:space="preserve">removing protection from </w:t>
      </w:r>
      <w:r w:rsidR="00175A39">
        <w:t xml:space="preserve">beliefs </w:t>
      </w:r>
      <w:r w:rsidR="00602A5B">
        <w:t xml:space="preserve">, or characteristics appertaining to those beliefs, </w:t>
      </w:r>
      <w:r w:rsidR="00175A39">
        <w:t xml:space="preserve">which are </w:t>
      </w:r>
      <w:r w:rsidR="00175A39" w:rsidRPr="00175A39">
        <w:t>contrary to public safety, order, health, or morals or the fundamental rights and freedoms of others</w:t>
      </w:r>
      <w:r w:rsidR="009A557A">
        <w:t xml:space="preserve">, </w:t>
      </w:r>
      <w:r w:rsidR="00CF691C">
        <w:t>nor exemptions for those who</w:t>
      </w:r>
      <w:r w:rsidR="009A557A">
        <w:t xml:space="preserve"> </w:t>
      </w:r>
      <w:r w:rsidR="00662760">
        <w:t>encourage or excuse serious offences</w:t>
      </w:r>
      <w:r w:rsidR="00216739">
        <w:t xml:space="preserve"> based on their religious beliefs</w:t>
      </w:r>
      <w:r w:rsidR="00662760">
        <w:t xml:space="preserve"> (such </w:t>
      </w:r>
      <w:r w:rsidR="00662760">
        <w:lastRenderedPageBreak/>
        <w:t>as the exemption contained in the second exposure draft of the federal Religious Discrimination Bill)</w:t>
      </w:r>
      <w:r w:rsidR="00A01A5A">
        <w:t>.</w:t>
      </w:r>
      <w:r w:rsidR="00834694">
        <w:rPr>
          <w:rStyle w:val="FootnoteReference"/>
        </w:rPr>
        <w:footnoteReference w:id="50"/>
      </w:r>
      <w:r w:rsidR="00CD1DE8">
        <w:t xml:space="preserve">  </w:t>
      </w:r>
      <w:r w:rsidR="00216739">
        <w:t xml:space="preserve">When coupled with the observations made by the </w:t>
      </w:r>
      <w:r w:rsidR="0085675B">
        <w:t xml:space="preserve">Australian Discrimination Law Experts Group </w:t>
      </w:r>
      <w:r w:rsidR="00FF226A">
        <w:t xml:space="preserve">submission </w:t>
      </w:r>
      <w:r w:rsidR="0085675B">
        <w:t>regarding the entirely subjective definition of a religious belief</w:t>
      </w:r>
      <w:r w:rsidR="00602A5B">
        <w:t xml:space="preserve"> under this Bill</w:t>
      </w:r>
      <w:r w:rsidR="0085675B">
        <w:t>,</w:t>
      </w:r>
      <w:r w:rsidR="00FF226A">
        <w:rPr>
          <w:rStyle w:val="FootnoteReference"/>
        </w:rPr>
        <w:footnoteReference w:id="51"/>
      </w:r>
      <w:r w:rsidR="0085675B">
        <w:t xml:space="preserve"> </w:t>
      </w:r>
      <w:r w:rsidR="008D714C">
        <w:t xml:space="preserve">it means protection is being provided to a wide range of beliefs which </w:t>
      </w:r>
      <w:r w:rsidR="00423780">
        <w:t>may be</w:t>
      </w:r>
      <w:r w:rsidR="008D714C">
        <w:t xml:space="preserve"> antithetical t</w:t>
      </w:r>
      <w:r w:rsidR="00965A11">
        <w:t xml:space="preserve">o </w:t>
      </w:r>
      <w:r w:rsidR="00CE39BE">
        <w:t>liberal democratic societ</w:t>
      </w:r>
      <w:r w:rsidR="420B4F12">
        <w:t>y</w:t>
      </w:r>
      <w:r w:rsidR="00CE39BE">
        <w:t xml:space="preserve"> built on mutual recognition for everyone’s fundamental rights and freedoms.</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F95F35" w14:paraId="3BF84B7B" w14:textId="77777777" w:rsidTr="00D34D52">
        <w:tc>
          <w:tcPr>
            <w:tcW w:w="8871" w:type="dxa"/>
            <w:tcMar>
              <w:bottom w:w="142" w:type="dxa"/>
            </w:tcMar>
          </w:tcPr>
          <w:p w14:paraId="7BA218E9" w14:textId="77777777" w:rsidR="00F95F35" w:rsidRDefault="00F95F35" w:rsidP="00D34D52">
            <w:pPr>
              <w:pStyle w:val="Heading3"/>
              <w:outlineLvl w:val="2"/>
            </w:pPr>
            <w:r>
              <w:t>Alternative recommendation</w:t>
            </w:r>
          </w:p>
          <w:p w14:paraId="5696871A" w14:textId="14D9AF70" w:rsidR="00F95F35" w:rsidRDefault="00671EE6" w:rsidP="00D34D52">
            <w:pPr>
              <w:rPr>
                <w:rStyle w:val="PageNumber"/>
              </w:rPr>
            </w:pPr>
            <w:r>
              <w:rPr>
                <w:rStyle w:val="PageNumber"/>
              </w:rPr>
              <w:t>‘</w:t>
            </w:r>
            <w:r w:rsidR="007332AF">
              <w:rPr>
                <w:rStyle w:val="PageNumber"/>
              </w:rPr>
              <w:t>Religious activity</w:t>
            </w:r>
            <w:r>
              <w:rPr>
                <w:rStyle w:val="PageNumber"/>
              </w:rPr>
              <w:t>’</w:t>
            </w:r>
            <w:r w:rsidR="007332AF">
              <w:rPr>
                <w:rStyle w:val="PageNumber"/>
              </w:rPr>
              <w:t xml:space="preserve"> should be defined to mean ‘engaging in, not engaging in or refusing to engage in a lawful religious activity’.</w:t>
            </w:r>
          </w:p>
          <w:p w14:paraId="14A29344" w14:textId="49DB2524" w:rsidR="007332AF" w:rsidRPr="00C24336" w:rsidRDefault="00C24336" w:rsidP="00D34D52">
            <w:pPr>
              <w:rPr>
                <w:rStyle w:val="PageNumber"/>
                <w:bCs/>
              </w:rPr>
            </w:pPr>
            <w:r>
              <w:rPr>
                <w:rStyle w:val="PageNumber"/>
                <w:bCs/>
              </w:rPr>
              <w:t>Ensur</w:t>
            </w:r>
            <w:r w:rsidR="00671EE6">
              <w:rPr>
                <w:rStyle w:val="PageNumber"/>
                <w:bCs/>
              </w:rPr>
              <w:t>e</w:t>
            </w:r>
            <w:r>
              <w:rPr>
                <w:rStyle w:val="PageNumber"/>
                <w:bCs/>
              </w:rPr>
              <w:t xml:space="preserve"> </w:t>
            </w:r>
            <w:r w:rsidRPr="00C24336">
              <w:rPr>
                <w:rStyle w:val="PageNumber"/>
                <w:bCs/>
              </w:rPr>
              <w:t xml:space="preserve">no discrimination protections </w:t>
            </w:r>
            <w:r w:rsidR="00671EE6">
              <w:rPr>
                <w:rStyle w:val="PageNumber"/>
                <w:bCs/>
              </w:rPr>
              <w:t xml:space="preserve">are </w:t>
            </w:r>
            <w:r w:rsidR="00602A5B">
              <w:rPr>
                <w:rStyle w:val="PageNumber"/>
                <w:bCs/>
              </w:rPr>
              <w:t xml:space="preserve">extended </w:t>
            </w:r>
            <w:r w:rsidRPr="00C24336">
              <w:rPr>
                <w:rStyle w:val="PageNumber"/>
                <w:bCs/>
              </w:rPr>
              <w:t xml:space="preserve">to conduct which is contrary to </w:t>
            </w:r>
            <w:r w:rsidR="00602A5B">
              <w:rPr>
                <w:rStyle w:val="PageNumber"/>
                <w:bCs/>
              </w:rPr>
              <w:t xml:space="preserve">the law or the limitation in article 18(3) of the International Civil and Political Rights on </w:t>
            </w:r>
            <w:r w:rsidRPr="00C24336">
              <w:rPr>
                <w:rStyle w:val="PageNumber"/>
                <w:bCs/>
              </w:rPr>
              <w:t xml:space="preserve">public safety, order, health, or morals or the fundamental rights and freedoms of others.  </w:t>
            </w:r>
          </w:p>
        </w:tc>
      </w:tr>
    </w:tbl>
    <w:p w14:paraId="30EA2AA2" w14:textId="4588C9DF" w:rsidR="00607AE7" w:rsidRPr="00607AE7" w:rsidRDefault="006609D0" w:rsidP="00B71270">
      <w:pPr>
        <w:pStyle w:val="Heading1"/>
      </w:pPr>
      <w:bookmarkStart w:id="20" w:name="_Toc48921259"/>
      <w:r>
        <w:t>Unequal protections for people of faith</w:t>
      </w:r>
      <w:bookmarkEnd w:id="20"/>
    </w:p>
    <w:p w14:paraId="7EB9781E" w14:textId="6D4F4E98" w:rsidR="007D2EAD" w:rsidRDefault="00B71270" w:rsidP="00B71270">
      <w:pPr>
        <w:pStyle w:val="Intro"/>
      </w:pPr>
      <w:r>
        <w:t>This Bill even fails to protect people of faith equally.  It departs from existing discrimination and vilification protections, leaving some people of faith less protected than others.</w:t>
      </w:r>
      <w:r w:rsidR="00EE7E09">
        <w:t xml:space="preserve">  </w:t>
      </w:r>
    </w:p>
    <w:p w14:paraId="6023F5A2" w14:textId="77777777" w:rsidR="000C1CCF" w:rsidRDefault="000C1CCF" w:rsidP="000C1CCF">
      <w:pPr>
        <w:pStyle w:val="Heading2"/>
      </w:pPr>
      <w:bookmarkStart w:id="21" w:name="_Toc48921260"/>
      <w:r>
        <w:t>Vilification protections</w:t>
      </w:r>
      <w:bookmarkEnd w:id="21"/>
    </w:p>
    <w:p w14:paraId="7FA7A1E8" w14:textId="768C800E" w:rsidR="00482E9C" w:rsidRDefault="00482E9C" w:rsidP="00482E9C">
      <w:r>
        <w:t>NSW currently prohibits publicly threatening or inciting violence towards others based on their religious belief or affiliation.  This crime, punishable by fines and/or up to 3 years’ imprisonment, covers all religions equally.</w:t>
      </w:r>
      <w:r>
        <w:rPr>
          <w:rStyle w:val="FootnoteReference"/>
        </w:rPr>
        <w:footnoteReference w:id="52"/>
      </w:r>
      <w:r>
        <w:t xml:space="preserve"> </w:t>
      </w:r>
    </w:p>
    <w:p w14:paraId="74CF9E72" w14:textId="1DE5FECC" w:rsidR="008E38F7" w:rsidRDefault="00482E9C" w:rsidP="00482E9C">
      <w:r>
        <w:t>NSW also</w:t>
      </w:r>
      <w:r w:rsidR="00582002">
        <w:t xml:space="preserve"> prohibits</w:t>
      </w:r>
      <w:r>
        <w:t xml:space="preserve"> vilification (meaning, inciting hatred towards, serious contempt for, or severe ridicule of others) based on ethno-religious origin.</w:t>
      </w:r>
      <w:r>
        <w:rPr>
          <w:rStyle w:val="FootnoteReference"/>
        </w:rPr>
        <w:footnoteReference w:id="53"/>
      </w:r>
      <w:r>
        <w:t xml:space="preserve">  </w:t>
      </w:r>
      <w:r w:rsidR="00582002">
        <w:t xml:space="preserve">These protections are civil protections, allowing victims to bring </w:t>
      </w:r>
      <w:r w:rsidR="009B366D">
        <w:t xml:space="preserve">their </w:t>
      </w:r>
      <w:r w:rsidR="00582002">
        <w:t>complaints to Anti-Discrimination NSW</w:t>
      </w:r>
      <w:r w:rsidR="009B366D">
        <w:t xml:space="preserve"> rather than rely</w:t>
      </w:r>
      <w:r w:rsidR="00AD5537">
        <w:t>ing</w:t>
      </w:r>
      <w:r w:rsidR="009B366D">
        <w:t xml:space="preserve"> on police enforcement</w:t>
      </w:r>
      <w:r w:rsidR="00582002">
        <w:t>.</w:t>
      </w:r>
      <w:r w:rsidR="009B366D">
        <w:rPr>
          <w:rStyle w:val="FootnoteReference"/>
        </w:rPr>
        <w:footnoteReference w:id="54"/>
      </w:r>
      <w:r w:rsidR="00582002">
        <w:t xml:space="preserve">  These civil vilification protections currently </w:t>
      </w:r>
      <w:r w:rsidR="00050F42">
        <w:t xml:space="preserve">likely </w:t>
      </w:r>
      <w:r w:rsidR="00582002">
        <w:t>cover</w:t>
      </w:r>
      <w:r>
        <w:t xml:space="preserve"> some religious groups (such as Jew</w:t>
      </w:r>
      <w:r w:rsidR="009B366D">
        <w:t>ish people</w:t>
      </w:r>
      <w:r>
        <w:t xml:space="preserve"> and Sikhs) but not others (such as Muslims and Christians)</w:t>
      </w:r>
      <w:r w:rsidR="00582002">
        <w:t>.</w:t>
      </w:r>
      <w:r w:rsidR="00582002">
        <w:rPr>
          <w:rStyle w:val="FootnoteReference"/>
        </w:rPr>
        <w:footnoteReference w:id="55"/>
      </w:r>
      <w:r w:rsidR="00582002">
        <w:t xml:space="preserve">  They also do not </w:t>
      </w:r>
      <w:r w:rsidR="00C339A7">
        <w:t xml:space="preserve">extend to </w:t>
      </w:r>
      <w:r w:rsidR="00582002">
        <w:t xml:space="preserve">vilification </w:t>
      </w:r>
      <w:r w:rsidR="00C339A7">
        <w:t>of</w:t>
      </w:r>
      <w:r w:rsidR="00582002">
        <w:t xml:space="preserve"> people </w:t>
      </w:r>
      <w:r>
        <w:t>with no religion.</w:t>
      </w:r>
    </w:p>
    <w:p w14:paraId="4AA36D53" w14:textId="79618487" w:rsidR="00F96F45" w:rsidRDefault="008E38F7" w:rsidP="00F96F45">
      <w:r>
        <w:t xml:space="preserve">The Bill </w:t>
      </w:r>
      <w:r w:rsidR="00D15382">
        <w:t xml:space="preserve">includes no amendments </w:t>
      </w:r>
      <w:r w:rsidR="00C339A7">
        <w:t xml:space="preserve">to </w:t>
      </w:r>
      <w:r>
        <w:t>extend</w:t>
      </w:r>
      <w:r w:rsidR="00C339A7">
        <w:t xml:space="preserve"> the</w:t>
      </w:r>
      <w:r>
        <w:t xml:space="preserve"> existing</w:t>
      </w:r>
      <w:r w:rsidR="00C339A7">
        <w:t xml:space="preserve"> ethno-religious</w:t>
      </w:r>
      <w:r>
        <w:t xml:space="preserve"> vilification protections to </w:t>
      </w:r>
      <w:r w:rsidR="00C339A7">
        <w:t xml:space="preserve">people of all religions </w:t>
      </w:r>
      <w:r w:rsidR="00224844">
        <w:t>(</w:t>
      </w:r>
      <w:r w:rsidR="00C339A7">
        <w:t>or none</w:t>
      </w:r>
      <w:r w:rsidR="00224844">
        <w:t>)</w:t>
      </w:r>
      <w:r w:rsidR="00C339A7">
        <w:t xml:space="preserve">, </w:t>
      </w:r>
      <w:r>
        <w:t xml:space="preserve">meaning that </w:t>
      </w:r>
      <w:r w:rsidR="00224844">
        <w:t xml:space="preserve">some people who are vilified on the grounds of religious belief or activity will have no </w:t>
      </w:r>
      <w:r w:rsidR="0056547F">
        <w:t>means by which to seek a civil remedy.</w:t>
      </w:r>
      <w:r>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F96F45" w14:paraId="286F975B" w14:textId="77777777" w:rsidTr="00D34D52">
        <w:tc>
          <w:tcPr>
            <w:tcW w:w="8871" w:type="dxa"/>
            <w:tcMar>
              <w:bottom w:w="142" w:type="dxa"/>
            </w:tcMar>
          </w:tcPr>
          <w:p w14:paraId="7AA5EDA1" w14:textId="77777777" w:rsidR="00F96F45" w:rsidRDefault="00F96F45" w:rsidP="00D34D52">
            <w:pPr>
              <w:pStyle w:val="Heading3"/>
              <w:outlineLvl w:val="2"/>
            </w:pPr>
            <w:r>
              <w:lastRenderedPageBreak/>
              <w:t>Alternative recommendation</w:t>
            </w:r>
          </w:p>
          <w:p w14:paraId="173A08C8" w14:textId="27812AD9" w:rsidR="00F96F45" w:rsidRPr="00C24336" w:rsidRDefault="00975E6B" w:rsidP="00D34D52">
            <w:pPr>
              <w:rPr>
                <w:rStyle w:val="PageNumber"/>
                <w:bCs/>
              </w:rPr>
            </w:pPr>
            <w:r>
              <w:rPr>
                <w:rStyle w:val="PageNumber"/>
                <w:bCs/>
              </w:rPr>
              <w:t>Review and reform</w:t>
            </w:r>
            <w:r w:rsidR="00E94664">
              <w:rPr>
                <w:rStyle w:val="PageNumber"/>
                <w:bCs/>
              </w:rPr>
              <w:t xml:space="preserve"> the vilification protections </w:t>
            </w:r>
            <w:r>
              <w:rPr>
                <w:rStyle w:val="PageNumber"/>
                <w:bCs/>
              </w:rPr>
              <w:t xml:space="preserve">in the </w:t>
            </w:r>
            <w:r w:rsidR="0008590A">
              <w:rPr>
                <w:rStyle w:val="PageNumber"/>
                <w:bCs/>
              </w:rPr>
              <w:t>ADA</w:t>
            </w:r>
            <w:r>
              <w:rPr>
                <w:rStyle w:val="PageNumber"/>
                <w:bCs/>
              </w:rPr>
              <w:t xml:space="preserve"> so that they can be</w:t>
            </w:r>
            <w:r w:rsidR="00E94664">
              <w:rPr>
                <w:rStyle w:val="PageNumber"/>
                <w:bCs/>
              </w:rPr>
              <w:t xml:space="preserve"> extend</w:t>
            </w:r>
            <w:r>
              <w:rPr>
                <w:rStyle w:val="PageNumber"/>
                <w:bCs/>
              </w:rPr>
              <w:t>ed</w:t>
            </w:r>
            <w:r w:rsidR="00E94664">
              <w:rPr>
                <w:rStyle w:val="PageNumber"/>
                <w:bCs/>
              </w:rPr>
              <w:t xml:space="preserve"> </w:t>
            </w:r>
            <w:r>
              <w:rPr>
                <w:rStyle w:val="PageNumber"/>
                <w:bCs/>
              </w:rPr>
              <w:t>properly to</w:t>
            </w:r>
            <w:r w:rsidR="00E94664">
              <w:rPr>
                <w:rStyle w:val="PageNumber"/>
                <w:bCs/>
              </w:rPr>
              <w:t xml:space="preserve"> all grounds</w:t>
            </w:r>
            <w:r>
              <w:rPr>
                <w:rStyle w:val="PageNumber"/>
                <w:bCs/>
              </w:rPr>
              <w:t xml:space="preserve"> covered by the </w:t>
            </w:r>
            <w:r w:rsidR="0008590A">
              <w:rPr>
                <w:rStyle w:val="PageNumber"/>
                <w:bCs/>
              </w:rPr>
              <w:t>ADA</w:t>
            </w:r>
            <w:r>
              <w:rPr>
                <w:rStyle w:val="PageNumber"/>
                <w:bCs/>
              </w:rPr>
              <w:t>.</w:t>
            </w:r>
          </w:p>
        </w:tc>
      </w:tr>
    </w:tbl>
    <w:p w14:paraId="4E5ACB25" w14:textId="0DF1AC7F" w:rsidR="000C1CCF" w:rsidRDefault="000C1CCF" w:rsidP="000C1CCF">
      <w:pPr>
        <w:pStyle w:val="Heading2"/>
      </w:pPr>
      <w:bookmarkStart w:id="22" w:name="_Toc48921261"/>
      <w:r>
        <w:t>‘Banning the burqa?’</w:t>
      </w:r>
      <w:r w:rsidR="00050F42">
        <w:t xml:space="preserve"> (s 22</w:t>
      </w:r>
      <w:proofErr w:type="gramStart"/>
      <w:r w:rsidR="00050F42">
        <w:t>N(</w:t>
      </w:r>
      <w:proofErr w:type="gramEnd"/>
      <w:r w:rsidR="00050F42">
        <w:t>6))</w:t>
      </w:r>
      <w:bookmarkEnd w:id="22"/>
    </w:p>
    <w:p w14:paraId="0C301D8A" w14:textId="2321906A" w:rsidR="000C1CCF" w:rsidRDefault="000C1CCF" w:rsidP="000C1CCF">
      <w:r>
        <w:t>The Bill draws inspiration from overseas attempts to ban full-face coverings</w:t>
      </w:r>
      <w:r w:rsidR="007A6B3B">
        <w:t xml:space="preserve"> in its provisions on religious dress in the workplace.</w:t>
      </w:r>
      <w:r w:rsidR="009B13BD">
        <w:rPr>
          <w:rStyle w:val="FootnoteReference"/>
        </w:rPr>
        <w:footnoteReference w:id="56"/>
      </w:r>
      <w:r w:rsidR="007A6B3B">
        <w:t xml:space="preserve"> </w:t>
      </w:r>
      <w:r w:rsidR="009B13BD">
        <w:t xml:space="preserve"> </w:t>
      </w:r>
      <w:r w:rsidR="00425842">
        <w:t>These provisions</w:t>
      </w:r>
      <w:r w:rsidR="007A6B3B">
        <w:t xml:space="preserve"> will</w:t>
      </w:r>
      <w:r w:rsidR="00425842">
        <w:t xml:space="preserve"> likely</w:t>
      </w:r>
      <w:r w:rsidR="00D0687D">
        <w:t xml:space="preserve"> </w:t>
      </w:r>
      <w:r>
        <w:t>disadvantage people who adopt religious dress</w:t>
      </w:r>
      <w:r w:rsidR="0056547F">
        <w:t xml:space="preserve"> that </w:t>
      </w:r>
      <w:r w:rsidR="000C7F26">
        <w:t xml:space="preserve">does not meet </w:t>
      </w:r>
      <w:r w:rsidR="00234B98">
        <w:t>existing</w:t>
      </w:r>
      <w:r w:rsidR="00BD2725">
        <w:t xml:space="preserve"> </w:t>
      </w:r>
      <w:r w:rsidR="00425842">
        <w:t>(</w:t>
      </w:r>
      <w:r w:rsidR="007A6B3B">
        <w:t>and potentially discriminatory</w:t>
      </w:r>
      <w:r w:rsidR="00425842">
        <w:t>)</w:t>
      </w:r>
      <w:r w:rsidR="00BD2725">
        <w:t xml:space="preserve"> </w:t>
      </w:r>
      <w:r w:rsidR="00D10EFD">
        <w:t>standards</w:t>
      </w:r>
      <w:r w:rsidR="0044028A">
        <w:t xml:space="preserve"> of workplace </w:t>
      </w:r>
      <w:r w:rsidR="00D33AEE">
        <w:t>attire</w:t>
      </w:r>
      <w:r w:rsidR="00D10EFD">
        <w:t xml:space="preserve">.  </w:t>
      </w:r>
    </w:p>
    <w:p w14:paraId="0122D0F1" w14:textId="660180A8" w:rsidR="00092D70" w:rsidRDefault="00E6309F" w:rsidP="00092D70">
      <w:r>
        <w:t xml:space="preserve">Proposed </w:t>
      </w:r>
      <w:r w:rsidR="009B13BD">
        <w:t>sub</w:t>
      </w:r>
      <w:r>
        <w:t>section</w:t>
      </w:r>
      <w:r w:rsidR="00325BEE">
        <w:t xml:space="preserve"> 22N(6)</w:t>
      </w:r>
      <w:r>
        <w:t xml:space="preserve"> </w:t>
      </w:r>
      <w:r w:rsidR="00092D70">
        <w:t xml:space="preserve">allows employers to </w:t>
      </w:r>
      <w:r w:rsidR="00092D70" w:rsidRPr="00257A79">
        <w:t>prohibit</w:t>
      </w:r>
      <w:r w:rsidR="00092D70">
        <w:t xml:space="preserve"> the wearing of religious symbols and clothing during work hours where this is reasonable, having regard to </w:t>
      </w:r>
      <w:r w:rsidR="00257FD1">
        <w:t>‘</w:t>
      </w:r>
      <w:r w:rsidR="00092D70">
        <w:t>workplace safety</w:t>
      </w:r>
      <w:r w:rsidR="00257FD1">
        <w:t>’</w:t>
      </w:r>
      <w:r w:rsidR="00092D70">
        <w:t xml:space="preserve">, </w:t>
      </w:r>
      <w:r w:rsidR="00257FD1">
        <w:t>‘</w:t>
      </w:r>
      <w:r w:rsidR="00092D70">
        <w:t>productivity</w:t>
      </w:r>
      <w:r w:rsidR="00257FD1">
        <w:t>’</w:t>
      </w:r>
      <w:r w:rsidR="00092D70">
        <w:t xml:space="preserve">, </w:t>
      </w:r>
      <w:r w:rsidR="00257FD1">
        <w:t>‘</w:t>
      </w:r>
      <w:r w:rsidR="00092D70">
        <w:t>communications and customer service requirements</w:t>
      </w:r>
      <w:r w:rsidR="00257FD1">
        <w:t>’</w:t>
      </w:r>
      <w:r w:rsidR="00092D70">
        <w:t xml:space="preserve">, and </w:t>
      </w:r>
      <w:r w:rsidR="00257FD1">
        <w:t>‘</w:t>
      </w:r>
      <w:r w:rsidR="00092D70">
        <w:t>industry standards</w:t>
      </w:r>
      <w:r w:rsidR="00257FD1">
        <w:t>’</w:t>
      </w:r>
      <w:r w:rsidR="00092D70">
        <w:t>.  As an example, the explanatory note to the Bill says that there would be no discrimination if a Muslim woman who wore a full-face covering were refused a job as a bank teller.</w:t>
      </w:r>
      <w:r w:rsidR="000F08D8">
        <w:rPr>
          <w:rStyle w:val="FootnoteReference"/>
        </w:rPr>
        <w:footnoteReference w:id="57"/>
      </w:r>
    </w:p>
    <w:p w14:paraId="2D581EFB" w14:textId="772CA3C7" w:rsidR="002D1AC3" w:rsidRPr="00735755" w:rsidRDefault="00092D70" w:rsidP="002D1AC3">
      <w:r>
        <w:t>This would be the first anti-discrimination law in Australia which requires decision-makers to have regard to ‘communications and customer service requirements’ and ‘industry standards’ to define what may be reasonable</w:t>
      </w:r>
      <w:r w:rsidR="003005E7">
        <w:t xml:space="preserve"> when it comes to religious dress in the workplace</w:t>
      </w:r>
      <w:r>
        <w:t>.</w:t>
      </w:r>
      <w:r w:rsidR="00434A20">
        <w:t xml:space="preserve">  </w:t>
      </w:r>
      <w:r w:rsidR="00F10F51">
        <w:t>These</w:t>
      </w:r>
      <w:r w:rsidR="000353F0">
        <w:t xml:space="preserve"> </w:t>
      </w:r>
      <w:r w:rsidR="00F10F51">
        <w:t xml:space="preserve">mandatory </w:t>
      </w:r>
      <w:r w:rsidR="00A01D1E">
        <w:t xml:space="preserve">legal </w:t>
      </w:r>
      <w:r w:rsidR="005472B2">
        <w:t xml:space="preserve">considerations </w:t>
      </w:r>
      <w:r w:rsidR="00F10F51">
        <w:t xml:space="preserve">are </w:t>
      </w:r>
      <w:r w:rsidR="00A01D1E">
        <w:t>circular</w:t>
      </w:r>
      <w:r w:rsidR="00B417B3">
        <w:t xml:space="preserve">: </w:t>
      </w:r>
      <w:r w:rsidR="00CA0711">
        <w:t xml:space="preserve">prohibitions on religious dress </w:t>
      </w:r>
      <w:r w:rsidR="00D91080">
        <w:t xml:space="preserve">become </w:t>
      </w:r>
      <w:r w:rsidR="00CA0711">
        <w:t>reinforced by reference to industry standards</w:t>
      </w:r>
      <w:r w:rsidR="00D91080">
        <w:t xml:space="preserve"> and </w:t>
      </w:r>
      <w:r w:rsidR="0004080A">
        <w:t xml:space="preserve">current </w:t>
      </w:r>
      <w:r w:rsidR="00251054">
        <w:t>styles</w:t>
      </w:r>
      <w:r w:rsidR="00D91080">
        <w:t xml:space="preserve"> of </w:t>
      </w:r>
      <w:r w:rsidR="00251054">
        <w:t>communication</w:t>
      </w:r>
      <w:r w:rsidR="00B417B3">
        <w:t>,</w:t>
      </w:r>
      <w:r w:rsidR="002000F4">
        <w:t xml:space="preserve"> which</w:t>
      </w:r>
      <w:r w:rsidR="0004080A">
        <w:t xml:space="preserve"> </w:t>
      </w:r>
      <w:r w:rsidR="00B417B3">
        <w:t xml:space="preserve">merely </w:t>
      </w:r>
      <w:r w:rsidR="002000F4">
        <w:t xml:space="preserve">reflect custom and tradition.  </w:t>
      </w:r>
      <w:r w:rsidR="00B417B3">
        <w:t xml:space="preserve">But </w:t>
      </w:r>
      <w:r w:rsidR="00D567AA">
        <w:t>mere</w:t>
      </w:r>
      <w:r w:rsidR="00B417B3">
        <w:t xml:space="preserve"> custom </w:t>
      </w:r>
      <w:r w:rsidR="00251054">
        <w:t>and</w:t>
      </w:r>
      <w:r w:rsidR="00B417B3">
        <w:t xml:space="preserve"> tradition</w:t>
      </w:r>
      <w:r w:rsidR="00D567AA">
        <w:t xml:space="preserve">, </w:t>
      </w:r>
      <w:r w:rsidR="00BA4930">
        <w:t xml:space="preserve">rebadged as ‘communications and customer service requirements’ and ‘industry standards’, </w:t>
      </w:r>
      <w:r w:rsidR="003263D0">
        <w:t xml:space="preserve">rarely provide legitimate reasons for maintaining policies and </w:t>
      </w:r>
      <w:r w:rsidR="00A87CCF">
        <w:t>practices</w:t>
      </w:r>
      <w:r w:rsidR="003263D0">
        <w:t xml:space="preserve"> which disadvantage and discriminate against others.  </w:t>
      </w:r>
      <w:r w:rsidR="00A87CCF">
        <w:t>I</w:t>
      </w:r>
      <w:r w:rsidR="007E0B0B">
        <w:t>f</w:t>
      </w:r>
      <w:r w:rsidR="00EE1168">
        <w:t xml:space="preserve"> mere custom</w:t>
      </w:r>
      <w:r w:rsidR="005472B2">
        <w:t xml:space="preserve"> or</w:t>
      </w:r>
      <w:r w:rsidR="00EE1168">
        <w:t xml:space="preserve"> tradition were </w:t>
      </w:r>
      <w:r w:rsidR="007E0B0B">
        <w:t xml:space="preserve">an appropriate legal justification for discrimination, women would still not be allowed </w:t>
      </w:r>
      <w:r w:rsidR="00A87CCF">
        <w:t xml:space="preserve">to </w:t>
      </w:r>
      <w:r w:rsidR="007E0B0B">
        <w:t>vote</w:t>
      </w:r>
      <w:r w:rsidR="00745DFB">
        <w:t xml:space="preserve"> and</w:t>
      </w:r>
      <w:r w:rsidR="00F17867">
        <w:t xml:space="preserve"> there would still be steps at the entrance to every</w:t>
      </w:r>
      <w:r w:rsidR="005F2C41">
        <w:t xml:space="preserve"> significant</w:t>
      </w:r>
      <w:r w:rsidR="00745DFB">
        <w:t xml:space="preserve"> public</w:t>
      </w:r>
      <w:r w:rsidR="005F2C41">
        <w:t xml:space="preserve"> building or monument preventing access to people in wheelchair</w:t>
      </w:r>
      <w:r w:rsidR="00745DFB">
        <w:t>s</w:t>
      </w:r>
      <w:r w:rsidR="005E423A">
        <w:t>.</w:t>
      </w:r>
      <w:r w:rsidR="007467E3">
        <w:t xml:space="preserve">  </w:t>
      </w:r>
      <w:r w:rsidR="00F10F51">
        <w:t xml:space="preserve">This provision thereby has the effect of reinforcing existing standards and ways of doing things, which may themselves be discriminatory.  </w:t>
      </w:r>
      <w:r w:rsidR="002D1AC3">
        <w:t xml:space="preserve">It allows an employer to justify prohibitions on religious dress in the workplace </w:t>
      </w:r>
      <w:r w:rsidR="00745DFB">
        <w:t xml:space="preserve">simply </w:t>
      </w:r>
      <w:r w:rsidR="002D1AC3">
        <w:t>by reference to</w:t>
      </w:r>
      <w:r w:rsidR="00745DFB">
        <w:t xml:space="preserve"> –</w:t>
      </w:r>
      <w:r w:rsidR="002D1AC3">
        <w:t xml:space="preserve"> </w:t>
      </w:r>
      <w:r w:rsidR="002D1AC3" w:rsidRPr="3B859BCD">
        <w:rPr>
          <w:i/>
          <w:iCs/>
        </w:rPr>
        <w:t>‘that’s just the way we do things around here’</w:t>
      </w:r>
      <w:r w:rsidR="00745DFB" w:rsidRPr="3B859BCD">
        <w:rPr>
          <w:i/>
          <w:iCs/>
        </w:rPr>
        <w:t xml:space="preserve"> –</w:t>
      </w:r>
      <w:r w:rsidR="002D1AC3" w:rsidRPr="3B859BCD">
        <w:rPr>
          <w:i/>
          <w:iCs/>
        </w:rPr>
        <w:t xml:space="preserve"> </w:t>
      </w:r>
      <w:r w:rsidR="00745DFB">
        <w:t>a</w:t>
      </w:r>
      <w:r w:rsidR="00735755">
        <w:t>nd</w:t>
      </w:r>
      <w:r w:rsidR="00745DFB">
        <w:t xml:space="preserve"> </w:t>
      </w:r>
      <w:r w:rsidR="00735755">
        <w:t xml:space="preserve">a decision-maker would have to take into account that reason </w:t>
      </w:r>
      <w:r w:rsidR="000865CC">
        <w:t>as a legitimate factor in determining whether the ban on religious dress is reasonable.</w:t>
      </w:r>
      <w:r w:rsidR="00745DFB">
        <w:t xml:space="preserve"> </w:t>
      </w:r>
    </w:p>
    <w:p w14:paraId="51F7869E" w14:textId="6D1D9FF0" w:rsidR="0056547F" w:rsidRDefault="000F08D8" w:rsidP="000C1CCF">
      <w:r>
        <w:t>Th</w:t>
      </w:r>
      <w:r w:rsidR="00F83D12">
        <w:t>is</w:t>
      </w:r>
      <w:r>
        <w:t xml:space="preserve"> provision is also unique in that </w:t>
      </w:r>
      <w:r w:rsidR="001C3F23">
        <w:t xml:space="preserve">– through the words ‘only if’ </w:t>
      </w:r>
      <w:r w:rsidR="00D23C42">
        <w:t xml:space="preserve">at the end of subsection </w:t>
      </w:r>
      <w:r w:rsidR="008C64C6">
        <w:t>22</w:t>
      </w:r>
      <w:proofErr w:type="gramStart"/>
      <w:r w:rsidR="008C64C6">
        <w:t>N</w:t>
      </w:r>
      <w:r w:rsidR="00D23C42">
        <w:t>(</w:t>
      </w:r>
      <w:proofErr w:type="gramEnd"/>
      <w:r w:rsidR="00D23C42">
        <w:t xml:space="preserve">6) </w:t>
      </w:r>
      <w:r w:rsidR="001C3F23">
        <w:t xml:space="preserve">– it appears to </w:t>
      </w:r>
      <w:r w:rsidR="000D2F19">
        <w:t>be exhaustive</w:t>
      </w:r>
      <w:r w:rsidR="008C64C6">
        <w:t xml:space="preserve"> of the circumstances in which prohibiting religious dress in the workplace will be unlawful</w:t>
      </w:r>
      <w:r w:rsidR="000D2F19">
        <w:t xml:space="preserve">. </w:t>
      </w:r>
      <w:r w:rsidR="008C64C6">
        <w:t xml:space="preserve"> Applying</w:t>
      </w:r>
      <w:r w:rsidR="0016298A">
        <w:t xml:space="preserve"> the </w:t>
      </w:r>
      <w:r w:rsidR="008C64C6">
        <w:t xml:space="preserve">legal </w:t>
      </w:r>
      <w:r w:rsidR="0016298A">
        <w:t>principle that a specific provision takes precedence over a general one,</w:t>
      </w:r>
      <w:r w:rsidR="00BA13FA">
        <w:rPr>
          <w:rStyle w:val="FootnoteReference"/>
        </w:rPr>
        <w:footnoteReference w:id="58"/>
      </w:r>
      <w:r w:rsidR="0016298A">
        <w:t xml:space="preserve"> </w:t>
      </w:r>
      <w:r w:rsidR="008C64C6">
        <w:t xml:space="preserve">this means that </w:t>
      </w:r>
      <w:r w:rsidR="0016298A">
        <w:t xml:space="preserve">the general </w:t>
      </w:r>
      <w:r w:rsidR="00BA13FA">
        <w:t xml:space="preserve">open-ended </w:t>
      </w:r>
      <w:r w:rsidR="0016298A">
        <w:t xml:space="preserve">prohibition on </w:t>
      </w:r>
      <w:r w:rsidR="008C64C6">
        <w:t xml:space="preserve">workplace </w:t>
      </w:r>
      <w:r w:rsidR="0016298A">
        <w:t xml:space="preserve">discrimination </w:t>
      </w:r>
      <w:r w:rsidR="008C64C6">
        <w:t xml:space="preserve">in subsection 22N(1) would not apply </w:t>
      </w:r>
      <w:r w:rsidR="00B9334A">
        <w:t>where the matter concerns</w:t>
      </w:r>
      <w:r w:rsidR="008C64C6">
        <w:t xml:space="preserve"> the prohibition of</w:t>
      </w:r>
      <w:r w:rsidR="00B9334A">
        <w:t xml:space="preserve"> religious symbols or </w:t>
      </w:r>
      <w:r w:rsidR="008C64C6">
        <w:t>clothing</w:t>
      </w:r>
      <w:r w:rsidR="00DB5A8F">
        <w:t xml:space="preserve"> in </w:t>
      </w:r>
      <w:r w:rsidR="002E007C">
        <w:t>the</w:t>
      </w:r>
      <w:r w:rsidR="00DB5A8F">
        <w:t xml:space="preserve"> workplace</w:t>
      </w:r>
      <w:r w:rsidR="00B9334A">
        <w:t xml:space="preserve">.  Accordingly, </w:t>
      </w:r>
      <w:r w:rsidR="00A311EE">
        <w:t>such</w:t>
      </w:r>
      <w:r w:rsidR="00B9334A">
        <w:t xml:space="preserve"> discrimination </w:t>
      </w:r>
      <w:r w:rsidR="008C64C6">
        <w:t>would</w:t>
      </w:r>
      <w:r w:rsidR="00A311EE">
        <w:t xml:space="preserve"> always </w:t>
      </w:r>
      <w:r w:rsidR="008C64C6">
        <w:t xml:space="preserve">need to be </w:t>
      </w:r>
      <w:r w:rsidR="00B9334A">
        <w:t>determined through the lens of subsection 22</w:t>
      </w:r>
      <w:proofErr w:type="gramStart"/>
      <w:r w:rsidR="00B9334A">
        <w:t>N(</w:t>
      </w:r>
      <w:proofErr w:type="gramEnd"/>
      <w:r w:rsidR="00B9334A">
        <w:t>6) with its</w:t>
      </w:r>
      <w:r w:rsidR="00704163">
        <w:t xml:space="preserve"> apparent</w:t>
      </w:r>
      <w:r w:rsidR="00B9334A">
        <w:t xml:space="preserve"> bias </w:t>
      </w:r>
      <w:r w:rsidR="00A96819">
        <w:t>against</w:t>
      </w:r>
      <w:r w:rsidR="00DB5A8F">
        <w:t xml:space="preserve"> any</w:t>
      </w:r>
      <w:r w:rsidR="00A96819">
        <w:t xml:space="preserve"> religious dress which contradicts </w:t>
      </w:r>
      <w:r w:rsidR="008C64C6">
        <w:t xml:space="preserve">existing </w:t>
      </w:r>
      <w:r w:rsidR="00DB5A8F">
        <w:t>standards</w:t>
      </w:r>
      <w:r w:rsidR="00B9334A">
        <w:t>.</w:t>
      </w:r>
      <w:r w:rsidR="00DB5A8F">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975E6B" w14:paraId="3FC93109" w14:textId="77777777" w:rsidTr="00D34D52">
        <w:tc>
          <w:tcPr>
            <w:tcW w:w="8871" w:type="dxa"/>
            <w:tcMar>
              <w:bottom w:w="142" w:type="dxa"/>
            </w:tcMar>
          </w:tcPr>
          <w:p w14:paraId="6D688AAC" w14:textId="77777777" w:rsidR="00975E6B" w:rsidRDefault="00975E6B" w:rsidP="00D34D52">
            <w:pPr>
              <w:pStyle w:val="Heading3"/>
              <w:outlineLvl w:val="2"/>
            </w:pPr>
            <w:r>
              <w:lastRenderedPageBreak/>
              <w:t>Alternative recommendation</w:t>
            </w:r>
          </w:p>
          <w:p w14:paraId="5E9CC89E" w14:textId="26428A7E" w:rsidR="00975E6B" w:rsidRPr="00C24336" w:rsidRDefault="006A6A03" w:rsidP="00D34D52">
            <w:pPr>
              <w:rPr>
                <w:rStyle w:val="PageNumber"/>
                <w:bCs/>
              </w:rPr>
            </w:pPr>
            <w:r>
              <w:rPr>
                <w:rStyle w:val="PageNumber"/>
                <w:bCs/>
              </w:rPr>
              <w:t>Subs</w:t>
            </w:r>
            <w:r w:rsidR="00975E6B">
              <w:rPr>
                <w:rStyle w:val="PageNumber"/>
                <w:bCs/>
              </w:rPr>
              <w:t>ection 22</w:t>
            </w:r>
            <w:proofErr w:type="gramStart"/>
            <w:r w:rsidR="00975E6B">
              <w:rPr>
                <w:rStyle w:val="PageNumber"/>
                <w:bCs/>
              </w:rPr>
              <w:t>N(</w:t>
            </w:r>
            <w:proofErr w:type="gramEnd"/>
            <w:r w:rsidR="00975E6B">
              <w:rPr>
                <w:rStyle w:val="PageNumber"/>
                <w:bCs/>
              </w:rPr>
              <w:t>6) should be removed.</w:t>
            </w:r>
          </w:p>
        </w:tc>
      </w:tr>
    </w:tbl>
    <w:p w14:paraId="2CE9FB78" w14:textId="2BAF6F9A" w:rsidR="000C1CCF" w:rsidRDefault="000047EE" w:rsidP="000C1CCF">
      <w:pPr>
        <w:pStyle w:val="Heading2"/>
      </w:pPr>
      <w:bookmarkStart w:id="23" w:name="_Toc48921262"/>
      <w:r>
        <w:t>Banning t</w:t>
      </w:r>
      <w:r w:rsidR="000C1CCF">
        <w:t xml:space="preserve">emporary </w:t>
      </w:r>
      <w:r w:rsidR="00F53D3A">
        <w:t>exemptions</w:t>
      </w:r>
      <w:r w:rsidR="009068F8">
        <w:t xml:space="preserve"> (s 126)</w:t>
      </w:r>
      <w:bookmarkEnd w:id="23"/>
    </w:p>
    <w:p w14:paraId="2760F73F" w14:textId="6D2CCC93" w:rsidR="000C1CCF" w:rsidRDefault="000C1CCF" w:rsidP="000C1CCF">
      <w:r>
        <w:t xml:space="preserve">The Bill prohibits the </w:t>
      </w:r>
      <w:r w:rsidR="009068F8">
        <w:t xml:space="preserve">President of </w:t>
      </w:r>
      <w:r>
        <w:t xml:space="preserve">Anti-Discrimination </w:t>
      </w:r>
      <w:r w:rsidR="00D05340">
        <w:t>NSW</w:t>
      </w:r>
      <w:r>
        <w:t xml:space="preserve"> from </w:t>
      </w:r>
      <w:r w:rsidR="007C3443">
        <w:t xml:space="preserve">allowing temporary exemptions to redress historical disadvantage </w:t>
      </w:r>
      <w:r w:rsidR="000C7F26">
        <w:t xml:space="preserve">experienced by </w:t>
      </w:r>
      <w:r w:rsidR="00011644">
        <w:t xml:space="preserve">people from </w:t>
      </w:r>
      <w:r w:rsidR="000C7F26">
        <w:t>minority faiths.</w:t>
      </w:r>
    </w:p>
    <w:p w14:paraId="5DFD6F8D" w14:textId="6D29F9E3" w:rsidR="002E007C" w:rsidRDefault="002E007C" w:rsidP="000C1CCF">
      <w:r>
        <w:t xml:space="preserve">Section 126 of the </w:t>
      </w:r>
      <w:r w:rsidR="0008590A">
        <w:t>ADA</w:t>
      </w:r>
      <w:r>
        <w:t xml:space="preserve"> allows the President of Anti-Discrimination NSW to grant </w:t>
      </w:r>
      <w:r w:rsidR="00840FD4">
        <w:t xml:space="preserve">temporary </w:t>
      </w:r>
      <w:r>
        <w:t>exemptions</w:t>
      </w:r>
      <w:r w:rsidR="00452BF1">
        <w:t xml:space="preserve"> from any ground of discrimination</w:t>
      </w:r>
      <w:r>
        <w:t>.</w:t>
      </w:r>
      <w:r w:rsidR="009D7D95">
        <w:rPr>
          <w:rStyle w:val="FootnoteReference"/>
        </w:rPr>
        <w:footnoteReference w:id="59"/>
      </w:r>
      <w:r>
        <w:t xml:space="preserve"> </w:t>
      </w:r>
      <w:r w:rsidR="009D7D95">
        <w:t xml:space="preserve"> This section is used to allow what may otherwise amount to discrimination under the </w:t>
      </w:r>
      <w:r w:rsidR="0008590A">
        <w:t>ADA</w:t>
      </w:r>
      <w:r w:rsidR="009D7D95">
        <w:t xml:space="preserve"> to redress historical disadvantage </w:t>
      </w:r>
      <w:r w:rsidR="00200C9E">
        <w:t>through special measures</w:t>
      </w:r>
      <w:r w:rsidR="009D7D95">
        <w:t>.</w:t>
      </w:r>
      <w:r w:rsidR="009D7D95">
        <w:rPr>
          <w:rStyle w:val="FootnoteReference"/>
        </w:rPr>
        <w:footnoteReference w:id="60"/>
      </w:r>
      <w:r>
        <w:t xml:space="preserve"> </w:t>
      </w:r>
      <w:r w:rsidR="009D7D95">
        <w:t xml:space="preserve"> </w:t>
      </w:r>
      <w:r w:rsidR="00452BF1">
        <w:t>T</w:t>
      </w:r>
      <w:r w:rsidR="009F48DA">
        <w:t>his Bill prohibits section</w:t>
      </w:r>
      <w:r w:rsidR="009D7D95">
        <w:t xml:space="preserve"> 126</w:t>
      </w:r>
      <w:r w:rsidR="009F48DA">
        <w:t xml:space="preserve"> from applying to Part 2B, being the new part </w:t>
      </w:r>
      <w:r w:rsidR="006E7CED">
        <w:t xml:space="preserve">introduced by the Bill </w:t>
      </w:r>
      <w:r w:rsidR="009F48DA">
        <w:t>which prohibits discrimination on the grounds of religious belief or activity.</w:t>
      </w:r>
    </w:p>
    <w:p w14:paraId="694D7541" w14:textId="1E294942" w:rsidR="00037E38" w:rsidRDefault="009F48DA" w:rsidP="00E6384E">
      <w:r>
        <w:t xml:space="preserve">This has the effect of </w:t>
      </w:r>
      <w:r w:rsidR="006E7CED">
        <w:t xml:space="preserve">prohibiting employers, educators and </w:t>
      </w:r>
      <w:r w:rsidR="00452BF1">
        <w:t>service providers</w:t>
      </w:r>
      <w:r w:rsidR="006E7CED">
        <w:t xml:space="preserve"> from seeking temporary exemptions to redress historical disadvantage, for example</w:t>
      </w:r>
      <w:r w:rsidR="00037E38">
        <w:t>:</w:t>
      </w:r>
      <w:r w:rsidR="00E6384E">
        <w:t xml:space="preserve"> </w:t>
      </w:r>
    </w:p>
    <w:p w14:paraId="2A4499BD" w14:textId="648BA7B4" w:rsidR="009F48DA" w:rsidRDefault="006E7CED" w:rsidP="00037E38">
      <w:pPr>
        <w:pStyle w:val="Bullet"/>
      </w:pPr>
      <w:r>
        <w:t xml:space="preserve">allowing the NSW </w:t>
      </w:r>
      <w:r w:rsidR="00E10B14">
        <w:t>P</w:t>
      </w:r>
      <w:r>
        <w:t xml:space="preserve">olice to advertise a community liaison position specifically for a person of a particular faith, in order to improve community relations between a minority faith community and </w:t>
      </w:r>
      <w:r w:rsidR="00E10B14">
        <w:t xml:space="preserve">NSW </w:t>
      </w:r>
      <w:proofErr w:type="gramStart"/>
      <w:r w:rsidR="00E10B14">
        <w:t>Police</w:t>
      </w:r>
      <w:r w:rsidR="00452BF1">
        <w:t>;</w:t>
      </w:r>
      <w:proofErr w:type="gramEnd"/>
      <w:r w:rsidR="00452BF1">
        <w:t xml:space="preserve"> </w:t>
      </w:r>
    </w:p>
    <w:p w14:paraId="5EBEC01C" w14:textId="124C2E4A" w:rsidR="000C1CCF" w:rsidRDefault="009D7D95" w:rsidP="007D2EAD">
      <w:pPr>
        <w:pStyle w:val="Bullet"/>
      </w:pPr>
      <w:r>
        <w:t xml:space="preserve">allowing </w:t>
      </w:r>
      <w:proofErr w:type="gramStart"/>
      <w:r>
        <w:t>a</w:t>
      </w:r>
      <w:proofErr w:type="gramEnd"/>
      <w:r>
        <w:t xml:space="preserve"> NSW university from offering a scholarship to students </w:t>
      </w:r>
      <w:r w:rsidR="005672F5">
        <w:t>from a particular faith, in order to redress the historic underrepresentation of students from particular faith backgrounds in</w:t>
      </w:r>
      <w:r w:rsidR="000047EE">
        <w:t xml:space="preserve"> an area of study.</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2003B4" w14:paraId="77ABB9B9" w14:textId="77777777" w:rsidTr="00BB79D2">
        <w:tc>
          <w:tcPr>
            <w:tcW w:w="8871" w:type="dxa"/>
            <w:tcMar>
              <w:bottom w:w="142" w:type="dxa"/>
            </w:tcMar>
          </w:tcPr>
          <w:p w14:paraId="37CB7A5F" w14:textId="4738AD7A" w:rsidR="00853B1B" w:rsidRDefault="00B77510" w:rsidP="00853B1B">
            <w:pPr>
              <w:pStyle w:val="Heading3"/>
              <w:outlineLvl w:val="2"/>
            </w:pPr>
            <w:r>
              <w:t xml:space="preserve">Alternative </w:t>
            </w:r>
            <w:r w:rsidR="00853B1B">
              <w:t>recommendation</w:t>
            </w:r>
          </w:p>
          <w:p w14:paraId="00B6962C" w14:textId="5E1F2B87" w:rsidR="002003B4" w:rsidRDefault="005C020B" w:rsidP="00853B1B">
            <w:pPr>
              <w:rPr>
                <w:rStyle w:val="PageNumber"/>
              </w:rPr>
            </w:pPr>
            <w:r>
              <w:t>Remove the amendment to section 126 from the Bill.</w:t>
            </w:r>
          </w:p>
        </w:tc>
      </w:tr>
    </w:tbl>
    <w:p w14:paraId="45D64010" w14:textId="2E463671" w:rsidR="004B1700" w:rsidRDefault="004B1700" w:rsidP="004B1700">
      <w:pPr>
        <w:pStyle w:val="Heading1"/>
      </w:pPr>
      <w:bookmarkStart w:id="24" w:name="_Toc48921263"/>
      <w:r>
        <w:t>Other issues</w:t>
      </w:r>
      <w:bookmarkEnd w:id="24"/>
    </w:p>
    <w:p w14:paraId="2C124F37" w14:textId="1AEE01A5" w:rsidR="00D7671F" w:rsidRDefault="00D7671F" w:rsidP="00D7671F">
      <w:r>
        <w:t>We concur with the submission made th</w:t>
      </w:r>
      <w:r w:rsidR="005D0EE9">
        <w:t xml:space="preserve">e </w:t>
      </w:r>
      <w:r w:rsidR="004715C6">
        <w:t>Australian</w:t>
      </w:r>
      <w:r w:rsidR="005D0EE9">
        <w:t xml:space="preserve"> Discrimination Law </w:t>
      </w:r>
      <w:r w:rsidR="004715C6">
        <w:t xml:space="preserve">Experts Group as to </w:t>
      </w:r>
      <w:r w:rsidR="00452AA7">
        <w:t>several</w:t>
      </w:r>
      <w:r w:rsidR="004715C6">
        <w:t xml:space="preserve"> other technical issues with the Bill, including:</w:t>
      </w:r>
    </w:p>
    <w:p w14:paraId="6341F1A0" w14:textId="31160263" w:rsidR="004715C6" w:rsidRPr="0003601A" w:rsidRDefault="00592488" w:rsidP="004715C6">
      <w:pPr>
        <w:pStyle w:val="Bullet"/>
      </w:pPr>
      <w:r w:rsidRPr="0003601A">
        <w:t>t</w:t>
      </w:r>
      <w:r w:rsidR="004715C6" w:rsidRPr="0003601A">
        <w:t xml:space="preserve">he asymmetrical definition of </w:t>
      </w:r>
      <w:r w:rsidR="00D02F81" w:rsidRPr="0003601A">
        <w:t xml:space="preserve">‘religious belief’ </w:t>
      </w:r>
      <w:r w:rsidR="001F60CD" w:rsidRPr="0003601A">
        <w:t>which</w:t>
      </w:r>
      <w:r w:rsidR="009D4708" w:rsidRPr="0003601A">
        <w:t xml:space="preserve"> appears to</w:t>
      </w:r>
      <w:r w:rsidR="001F60CD" w:rsidRPr="0003601A">
        <w:t xml:space="preserve"> exclude </w:t>
      </w:r>
      <w:r w:rsidR="00F76CDE" w:rsidRPr="0003601A">
        <w:t xml:space="preserve">or reduce protections afforded to </w:t>
      </w:r>
      <w:r w:rsidR="001F60CD" w:rsidRPr="0003601A">
        <w:t>people who are agnostic</w:t>
      </w:r>
      <w:r w:rsidR="00452AA7" w:rsidRPr="0003601A">
        <w:t>;</w:t>
      </w:r>
    </w:p>
    <w:p w14:paraId="199293E4" w14:textId="7642661E" w:rsidR="003E65B9" w:rsidRDefault="003E65B9" w:rsidP="004715C6">
      <w:pPr>
        <w:pStyle w:val="Bullet"/>
      </w:pPr>
      <w:r>
        <w:t xml:space="preserve">the entirely subjective </w:t>
      </w:r>
      <w:r w:rsidR="003643F9">
        <w:t xml:space="preserve">standard for </w:t>
      </w:r>
      <w:r w:rsidR="001D1760">
        <w:t>determining the existence of a religious belief which, coupled with the issues we highlight in sections</w:t>
      </w:r>
      <w:r w:rsidR="00EA69FA">
        <w:t xml:space="preserve"> </w:t>
      </w:r>
      <w:r w:rsidR="00EA69FA">
        <w:rPr>
          <w:color w:val="2B579A"/>
          <w:shd w:val="clear" w:color="auto" w:fill="E6E6E6"/>
        </w:rPr>
        <w:fldChar w:fldCharType="begin"/>
      </w:r>
      <w:r w:rsidR="00EA69FA">
        <w:instrText xml:space="preserve"> REF _Ref48750666 \w \h </w:instrText>
      </w:r>
      <w:r w:rsidR="00EA69FA">
        <w:rPr>
          <w:color w:val="2B579A"/>
          <w:shd w:val="clear" w:color="auto" w:fill="E6E6E6"/>
        </w:rPr>
      </w:r>
      <w:r w:rsidR="00EA69FA">
        <w:rPr>
          <w:color w:val="2B579A"/>
          <w:shd w:val="clear" w:color="auto" w:fill="E6E6E6"/>
        </w:rPr>
        <w:fldChar w:fldCharType="separate"/>
      </w:r>
      <w:r w:rsidR="001E2C84">
        <w:t>3(c)</w:t>
      </w:r>
      <w:r w:rsidR="00EA69FA">
        <w:rPr>
          <w:color w:val="2B579A"/>
          <w:shd w:val="clear" w:color="auto" w:fill="E6E6E6"/>
        </w:rPr>
        <w:fldChar w:fldCharType="end"/>
      </w:r>
      <w:r w:rsidR="00EA69FA">
        <w:t xml:space="preserve"> above</w:t>
      </w:r>
      <w:r w:rsidR="001D1760">
        <w:t xml:space="preserve">, </w:t>
      </w:r>
      <w:r w:rsidR="009068F8">
        <w:t xml:space="preserve">appears to give </w:t>
      </w:r>
      <w:r w:rsidR="001D1760">
        <w:t>protection to an</w:t>
      </w:r>
      <w:r w:rsidR="00CA2EB7">
        <w:t>y belief that a</w:t>
      </w:r>
      <w:r w:rsidR="00C73567">
        <w:t xml:space="preserve"> defined</w:t>
      </w:r>
      <w:r w:rsidR="00CA2EB7">
        <w:t xml:space="preserve"> group </w:t>
      </w:r>
      <w:r w:rsidR="00C73567">
        <w:t xml:space="preserve">of adherents </w:t>
      </w:r>
      <w:r w:rsidR="00CA2EB7">
        <w:t>choose to call a religion;</w:t>
      </w:r>
    </w:p>
    <w:p w14:paraId="3C0772F2" w14:textId="25465467" w:rsidR="00CA2EB7" w:rsidRDefault="00D07712" w:rsidP="004715C6">
      <w:pPr>
        <w:pStyle w:val="Bullet"/>
      </w:pPr>
      <w:r>
        <w:t xml:space="preserve">the complex extension of protections to people who may </w:t>
      </w:r>
      <w:r w:rsidR="00AE6284">
        <w:t xml:space="preserve">be </w:t>
      </w:r>
      <w:r w:rsidR="00AE6284" w:rsidRPr="0065711D">
        <w:t>imputed</w:t>
      </w:r>
      <w:r w:rsidR="00AE6284">
        <w:t xml:space="preserve"> </w:t>
      </w:r>
      <w:r w:rsidR="001E59FC">
        <w:t xml:space="preserve">to hold </w:t>
      </w:r>
      <w:r w:rsidR="00F73927">
        <w:t>religious beliefs in the future</w:t>
      </w:r>
      <w:r w:rsidR="00E34C34">
        <w:t>.</w:t>
      </w:r>
      <w:r w:rsidR="00B041BD">
        <w:rPr>
          <w:rStyle w:val="FootnoteReference"/>
        </w:rPr>
        <w:footnoteReference w:id="61"/>
      </w:r>
      <w:r w:rsidR="00E34C34">
        <w:t xml:space="preserve">  This</w:t>
      </w:r>
      <w:r w:rsidR="00F73927">
        <w:t xml:space="preserve"> requir</w:t>
      </w:r>
      <w:r w:rsidR="00E34C34">
        <w:t>es</w:t>
      </w:r>
      <w:r w:rsidR="00F73927">
        <w:t xml:space="preserve"> employers, schools, service providers and </w:t>
      </w:r>
      <w:r w:rsidR="009E0F84">
        <w:t xml:space="preserve">qualifying bodies to consider an impossibly large </w:t>
      </w:r>
      <w:r w:rsidR="00C73567">
        <w:t>range</w:t>
      </w:r>
      <w:r w:rsidR="009E0F84">
        <w:t xml:space="preserve"> of potential beliefs, which are unknown and unknowable</w:t>
      </w:r>
      <w:r w:rsidR="00C73567">
        <w:t xml:space="preserve">, and </w:t>
      </w:r>
      <w:r w:rsidR="00C73567">
        <w:lastRenderedPageBreak/>
        <w:t>which a person may adopt in the future</w:t>
      </w:r>
      <w:r w:rsidR="009E0F84">
        <w:t xml:space="preserve">.  Businesses, service providers and others are </w:t>
      </w:r>
      <w:r w:rsidR="00C73567">
        <w:t xml:space="preserve">simply </w:t>
      </w:r>
      <w:r w:rsidR="009E0F84">
        <w:t xml:space="preserve">being required to </w:t>
      </w:r>
      <w:r w:rsidR="00452067">
        <w:t xml:space="preserve">engage in </w:t>
      </w:r>
      <w:r w:rsidR="0065711D">
        <w:t xml:space="preserve">a degree of </w:t>
      </w:r>
      <w:r w:rsidR="00452067">
        <w:t>clairvoyance</w:t>
      </w:r>
      <w:r w:rsidR="00CE2C8D">
        <w:t>.</w:t>
      </w:r>
    </w:p>
    <w:p w14:paraId="319D6111" w14:textId="65A4156E" w:rsidR="00C72E7F" w:rsidRPr="00D7671F" w:rsidRDefault="0065711D" w:rsidP="0065711D">
      <w:r>
        <w:t>We accordingly support recommendations 3</w:t>
      </w:r>
      <w:r w:rsidR="00C73567">
        <w:t>-8</w:t>
      </w:r>
      <w:r w:rsidR="00CE2C8D">
        <w:t>, and the reasons given for those recommendations, in the Australian Discrimination Law Experts Group’s submission.</w:t>
      </w:r>
    </w:p>
    <w:p w14:paraId="2B5A07F2" w14:textId="77777777" w:rsidR="00157887" w:rsidRDefault="00157887" w:rsidP="009F1F1E">
      <w:r>
        <w:br w:type="page"/>
      </w:r>
    </w:p>
    <w:p w14:paraId="7907DBC6" w14:textId="57172DBF" w:rsidR="00430509" w:rsidRDefault="00CE3A94" w:rsidP="00430509">
      <w:pPr>
        <w:pStyle w:val="Section"/>
      </w:pPr>
      <w:bookmarkStart w:id="25" w:name="_Toc48921264"/>
      <w:r>
        <w:lastRenderedPageBreak/>
        <w:t xml:space="preserve">Reviewing the </w:t>
      </w:r>
      <w:r w:rsidR="0008590A">
        <w:t>ADA</w:t>
      </w:r>
      <w:bookmarkEnd w:id="25"/>
    </w:p>
    <w:p w14:paraId="36647362" w14:textId="52F0471D" w:rsidR="00B91118" w:rsidRDefault="00B91118" w:rsidP="00B91118">
      <w:pPr>
        <w:pStyle w:val="Intro"/>
      </w:pPr>
      <w:r>
        <w:t xml:space="preserve">This Bill </w:t>
      </w:r>
      <w:r w:rsidR="002256AD">
        <w:t xml:space="preserve">only </w:t>
      </w:r>
      <w:r>
        <w:t xml:space="preserve">serves to highlight </w:t>
      </w:r>
      <w:r w:rsidR="008F727F">
        <w:t xml:space="preserve">and </w:t>
      </w:r>
      <w:r w:rsidR="00343D4B">
        <w:t>add</w:t>
      </w:r>
      <w:r w:rsidR="008F727F">
        <w:t xml:space="preserve"> to </w:t>
      </w:r>
      <w:r>
        <w:t xml:space="preserve">existing problems with the </w:t>
      </w:r>
      <w:r w:rsidR="0008590A">
        <w:t>ADA</w:t>
      </w:r>
      <w:r w:rsidR="00E34C34">
        <w:t>,</w:t>
      </w:r>
      <w:r w:rsidR="002256AD">
        <w:t xml:space="preserve"> which need</w:t>
      </w:r>
      <w:r w:rsidR="008F727F">
        <w:t>s</w:t>
      </w:r>
      <w:r w:rsidR="002256AD">
        <w:t xml:space="preserve"> comprehensive </w:t>
      </w:r>
      <w:r w:rsidR="008F727F">
        <w:t xml:space="preserve">review.  </w:t>
      </w:r>
      <w:r w:rsidR="00A44AB8">
        <w:t>C</w:t>
      </w:r>
      <w:r w:rsidR="00D53CC0">
        <w:t xml:space="preserve">areful thought needs to be given to how </w:t>
      </w:r>
      <w:r w:rsidR="008571C9">
        <w:t>discrimination laws should protect people with different religious beliefs</w:t>
      </w:r>
      <w:r w:rsidR="002A6992">
        <w:t xml:space="preserve"> before reform is attempted, particularly </w:t>
      </w:r>
      <w:r w:rsidR="00A44AB8">
        <w:t>while federal religious discrimination protections remain under consideration.</w:t>
      </w:r>
    </w:p>
    <w:p w14:paraId="1E5A3089" w14:textId="74912918" w:rsidR="00430509" w:rsidRDefault="00430509" w:rsidP="00430509">
      <w:pPr>
        <w:pStyle w:val="Heading1"/>
      </w:pPr>
      <w:bookmarkStart w:id="26" w:name="_Toc48921265"/>
      <w:r>
        <w:t xml:space="preserve">Other </w:t>
      </w:r>
      <w:r w:rsidR="00793BA8">
        <w:t>p</w:t>
      </w:r>
      <w:r>
        <w:t>roblems with the</w:t>
      </w:r>
      <w:r w:rsidR="009F1F1E">
        <w:t xml:space="preserve"> ADA</w:t>
      </w:r>
      <w:bookmarkEnd w:id="26"/>
    </w:p>
    <w:p w14:paraId="60026628" w14:textId="45C93CBE" w:rsidR="00A44AB8" w:rsidRDefault="00A60E03" w:rsidP="00A44AB8">
      <w:r>
        <w:t xml:space="preserve">The fact </w:t>
      </w:r>
      <w:r w:rsidR="00DB7D05">
        <w:t xml:space="preserve">that </w:t>
      </w:r>
      <w:r w:rsidR="00F23380">
        <w:t>t</w:t>
      </w:r>
      <w:r w:rsidR="00DB7D05">
        <w:t>his Bill introduces an exemption for ‘religious ethos organisation</w:t>
      </w:r>
      <w:r w:rsidR="004444A6">
        <w:t>s</w:t>
      </w:r>
      <w:r w:rsidR="00DB7D05">
        <w:t xml:space="preserve">’ </w:t>
      </w:r>
      <w:r w:rsidR="00E53727">
        <w:t xml:space="preserve">alongside </w:t>
      </w:r>
      <w:r w:rsidR="00DB7D05">
        <w:t>section 56</w:t>
      </w:r>
      <w:r w:rsidR="00B041BD">
        <w:rPr>
          <w:rStyle w:val="FootnoteReference"/>
        </w:rPr>
        <w:footnoteReference w:id="62"/>
      </w:r>
      <w:r w:rsidR="00E53727">
        <w:t xml:space="preserve">, itself a </w:t>
      </w:r>
      <w:r w:rsidR="00DB7D05">
        <w:t>broad exemption for religious bodies</w:t>
      </w:r>
      <w:r w:rsidR="00E53727">
        <w:t xml:space="preserve">, </w:t>
      </w:r>
      <w:r w:rsidR="00016FAF">
        <w:t xml:space="preserve">demonstrates just how incoherent </w:t>
      </w:r>
      <w:r w:rsidR="002E1E2F">
        <w:t xml:space="preserve">the </w:t>
      </w:r>
      <w:r w:rsidR="0008590A">
        <w:t>ADA</w:t>
      </w:r>
      <w:r w:rsidR="002E1E2F">
        <w:t xml:space="preserve"> </w:t>
      </w:r>
      <w:r w:rsidR="00055771">
        <w:t>has become</w:t>
      </w:r>
      <w:r w:rsidR="002E1E2F">
        <w:t xml:space="preserve">. </w:t>
      </w:r>
      <w:r w:rsidR="00055771">
        <w:t xml:space="preserve"> The Act is replete with </w:t>
      </w:r>
      <w:r w:rsidR="00F46BD0">
        <w:t>inconsistencies</w:t>
      </w:r>
      <w:r w:rsidR="00F23380">
        <w:t>, gaps and omissions</w:t>
      </w:r>
      <w:r w:rsidR="00F46BD0">
        <w:t>.  Passing this Bill would simply add to them.</w:t>
      </w:r>
    </w:p>
    <w:p w14:paraId="1C9119E9" w14:textId="14EDED1E" w:rsidR="00F46BD0" w:rsidRDefault="00F46BD0" w:rsidP="00A44AB8">
      <w:r>
        <w:t xml:space="preserve">Some of the issues we see with the </w:t>
      </w:r>
      <w:r w:rsidR="0008590A">
        <w:t>ADA</w:t>
      </w:r>
      <w:r>
        <w:t xml:space="preserve"> include:</w:t>
      </w:r>
    </w:p>
    <w:p w14:paraId="3E9984AE" w14:textId="2FAF30ED" w:rsidR="00857481" w:rsidRDefault="00F23380" w:rsidP="00F46BD0">
      <w:pPr>
        <w:pStyle w:val="Bullet"/>
      </w:pPr>
      <w:r>
        <w:t xml:space="preserve">an archaic approach of separate </w:t>
      </w:r>
      <w:r w:rsidR="00DD728F">
        <w:t>parts</w:t>
      </w:r>
      <w:r w:rsidR="00FB72D4">
        <w:t xml:space="preserve"> </w:t>
      </w:r>
      <w:r w:rsidR="00857481">
        <w:t>for each protected attribute</w:t>
      </w:r>
      <w:r w:rsidR="009F1F1E">
        <w:t>, each with slight differences and most numbered a variation on ‘section 49xxx’</w:t>
      </w:r>
      <w:r w:rsidR="00857481">
        <w:t xml:space="preserve">.  It is difficult for anyone confronting the </w:t>
      </w:r>
      <w:r w:rsidR="0008590A">
        <w:t>ADA</w:t>
      </w:r>
      <w:r w:rsidR="00857481">
        <w:t xml:space="preserve"> to know </w:t>
      </w:r>
      <w:r w:rsidR="000B4E03">
        <w:t xml:space="preserve">which grounds are covered, </w:t>
      </w:r>
      <w:r w:rsidR="00CD0064">
        <w:t xml:space="preserve">and </w:t>
      </w:r>
      <w:r w:rsidR="000B4E03">
        <w:t xml:space="preserve">what defences and exemptions apply, </w:t>
      </w:r>
      <w:r w:rsidR="00737A6E">
        <w:t xml:space="preserve">without </w:t>
      </w:r>
      <w:r w:rsidR="00DD728F">
        <w:t>a review of the whole Act</w:t>
      </w:r>
      <w:r w:rsidR="00073073">
        <w:t>;</w:t>
      </w:r>
    </w:p>
    <w:p w14:paraId="688810AF" w14:textId="631D417E" w:rsidR="00073073" w:rsidRDefault="009157B5" w:rsidP="00F46BD0">
      <w:pPr>
        <w:pStyle w:val="Bullet"/>
      </w:pPr>
      <w:r>
        <w:t xml:space="preserve">protected attributes with outdated definitions, such as </w:t>
      </w:r>
      <w:r w:rsidR="008867F9">
        <w:t>sexual orientation protections which only cover</w:t>
      </w:r>
      <w:r w:rsidR="00C147A3">
        <w:t xml:space="preserve"> </w:t>
      </w:r>
      <w:r w:rsidR="008867F9">
        <w:t>gay men and lesbians;</w:t>
      </w:r>
      <w:r w:rsidR="005B3C56">
        <w:rPr>
          <w:rStyle w:val="FootnoteReference"/>
        </w:rPr>
        <w:footnoteReference w:id="63"/>
      </w:r>
      <w:r w:rsidR="001B593F">
        <w:t xml:space="preserve"> and</w:t>
      </w:r>
    </w:p>
    <w:p w14:paraId="7BB4B12F" w14:textId="16ACD026" w:rsidR="00B64D7E" w:rsidRDefault="0041606B" w:rsidP="00F46BD0">
      <w:pPr>
        <w:pStyle w:val="Bullet"/>
      </w:pPr>
      <w:r>
        <w:t>broad and unjustifiable exemptions, such as those allowing discrimination in sport on a person’s nationality and place of birth,</w:t>
      </w:r>
      <w:r>
        <w:rPr>
          <w:rStyle w:val="FootnoteReference"/>
        </w:rPr>
        <w:footnoteReference w:id="64"/>
      </w:r>
      <w:r w:rsidR="00B70BF8">
        <w:t xml:space="preserve"> allowing private schools </w:t>
      </w:r>
      <w:r w:rsidR="005C089F">
        <w:t xml:space="preserve">to discriminate </w:t>
      </w:r>
      <w:r w:rsidR="00892FE1">
        <w:t xml:space="preserve">against students </w:t>
      </w:r>
      <w:r w:rsidR="005C089F">
        <w:t xml:space="preserve">on the grounds of sex, </w:t>
      </w:r>
      <w:r w:rsidR="00926346">
        <w:t>transgender status,</w:t>
      </w:r>
      <w:r w:rsidR="00EB431E">
        <w:t xml:space="preserve"> marital or domestic status,</w:t>
      </w:r>
      <w:r w:rsidR="00926346">
        <w:t xml:space="preserve"> </w:t>
      </w:r>
      <w:r w:rsidR="00CB5D44">
        <w:t>disability, homosexuality</w:t>
      </w:r>
      <w:r w:rsidR="00EB431E">
        <w:t xml:space="preserve"> or</w:t>
      </w:r>
      <w:r w:rsidR="00CB5D44">
        <w:t xml:space="preserve"> </w:t>
      </w:r>
      <w:r w:rsidR="007660C0">
        <w:t>age,</w:t>
      </w:r>
      <w:r w:rsidR="002C054C">
        <w:rPr>
          <w:rStyle w:val="FootnoteReference"/>
        </w:rPr>
        <w:footnoteReference w:id="65"/>
      </w:r>
      <w:r w:rsidR="007660C0">
        <w:t xml:space="preserve"> </w:t>
      </w:r>
      <w:r w:rsidR="00DA0A21">
        <w:t>or allowing aged care homes to discriminate on the basis of race</w:t>
      </w:r>
      <w:r w:rsidR="009157B5">
        <w:t>.</w:t>
      </w:r>
      <w:r w:rsidR="003B1338">
        <w:rPr>
          <w:rStyle w:val="FootnoteReference"/>
        </w:rPr>
        <w:footnoteReference w:id="66"/>
      </w:r>
    </w:p>
    <w:p w14:paraId="33158AEC" w14:textId="30DD8616" w:rsidR="001B593F" w:rsidRDefault="001B593F" w:rsidP="001B593F">
      <w:r>
        <w:t xml:space="preserve">The ADA needs </w:t>
      </w:r>
      <w:r w:rsidR="008A39EB">
        <w:t xml:space="preserve">a comprehensive review if </w:t>
      </w:r>
      <w:r w:rsidR="007A783F">
        <w:t xml:space="preserve">significant religious discrimination reform is to be attempted.  This Bill </w:t>
      </w:r>
      <w:r w:rsidR="00073CE3">
        <w:t>leaves in place the existing ethno-religious discrimination and vilification protections, meaning all religions (and people with no religion) are not protected equally, or in the same way, under the ADA.</w:t>
      </w:r>
      <w:r w:rsidR="00304D7E">
        <w:t xml:space="preserve"> </w:t>
      </w:r>
    </w:p>
    <w:p w14:paraId="1C43B659" w14:textId="0FE39802" w:rsidR="00430509" w:rsidRDefault="00430509" w:rsidP="00430509">
      <w:pPr>
        <w:pStyle w:val="Heading1"/>
      </w:pPr>
      <w:bookmarkStart w:id="27" w:name="_Toc48921266"/>
      <w:r>
        <w:t xml:space="preserve">Religious discrimination </w:t>
      </w:r>
      <w:r w:rsidR="0039287A">
        <w:t xml:space="preserve">protections </w:t>
      </w:r>
      <w:r>
        <w:t>need careful thought</w:t>
      </w:r>
      <w:bookmarkEnd w:id="27"/>
      <w:r>
        <w:t xml:space="preserve"> </w:t>
      </w:r>
    </w:p>
    <w:p w14:paraId="448C066C" w14:textId="6EF4CE89" w:rsidR="0039287A" w:rsidRDefault="0039287A" w:rsidP="0039287A">
      <w:pPr>
        <w:rPr>
          <w:rStyle w:val="PageNumber"/>
        </w:rPr>
      </w:pPr>
      <w:r>
        <w:rPr>
          <w:rStyle w:val="PageNumber"/>
        </w:rPr>
        <w:t>As we submitted to the Commonwealth Attorney-General’s consultation on the second exposure draft of the federal Religious Discrimination Bill, regulation relating to religious belief and activity is a complex area for public policy</w:t>
      </w:r>
      <w:r w:rsidR="00E6768B">
        <w:rPr>
          <w:rStyle w:val="PageNumber"/>
        </w:rPr>
        <w:t>.</w:t>
      </w:r>
      <w:r w:rsidR="00E6768B">
        <w:rPr>
          <w:rStyle w:val="FootnoteReference"/>
        </w:rPr>
        <w:footnoteReference w:id="67"/>
      </w:r>
      <w:r w:rsidR="00E6768B">
        <w:rPr>
          <w:rStyle w:val="PageNumber"/>
        </w:rPr>
        <w:t xml:space="preserve">  O</w:t>
      </w:r>
      <w:r>
        <w:rPr>
          <w:rStyle w:val="PageNumber"/>
        </w:rPr>
        <w:t xml:space="preserve">ur laws must recognise and address these complexities, if we are to provide effective protection against discrimination on </w:t>
      </w:r>
      <w:r w:rsidR="00CD0064">
        <w:rPr>
          <w:rStyle w:val="PageNumber"/>
        </w:rPr>
        <w:t xml:space="preserve">these </w:t>
      </w:r>
      <w:r>
        <w:rPr>
          <w:rStyle w:val="PageNumber"/>
        </w:rPr>
        <w:t>protected attribute</w:t>
      </w:r>
      <w:r w:rsidR="002668CD">
        <w:rPr>
          <w:rStyle w:val="PageNumber"/>
        </w:rPr>
        <w:t>s</w:t>
      </w:r>
      <w:r>
        <w:rPr>
          <w:rStyle w:val="PageNumber"/>
        </w:rPr>
        <w:t xml:space="preserve">, without diminishing the rights of others.  </w:t>
      </w:r>
    </w:p>
    <w:p w14:paraId="4ADF3952" w14:textId="591102A6" w:rsidR="0039287A" w:rsidRDefault="0039287A" w:rsidP="0039287A">
      <w:pPr>
        <w:rPr>
          <w:rStyle w:val="PageNumber"/>
        </w:rPr>
      </w:pPr>
      <w:r>
        <w:rPr>
          <w:rStyle w:val="PageNumber"/>
        </w:rPr>
        <w:lastRenderedPageBreak/>
        <w:t xml:space="preserve">While religious belief </w:t>
      </w:r>
      <w:r w:rsidR="002668CD">
        <w:rPr>
          <w:rStyle w:val="PageNumber"/>
        </w:rPr>
        <w:t xml:space="preserve">and </w:t>
      </w:r>
      <w:r>
        <w:rPr>
          <w:rStyle w:val="PageNumber"/>
        </w:rPr>
        <w:t xml:space="preserve">activity shares some similarities with other protected attributes such as race, sex, </w:t>
      </w:r>
      <w:proofErr w:type="gramStart"/>
      <w:r>
        <w:rPr>
          <w:rStyle w:val="PageNumber"/>
        </w:rPr>
        <w:t>disability</w:t>
      </w:r>
      <w:proofErr w:type="gramEnd"/>
      <w:r>
        <w:rPr>
          <w:rStyle w:val="PageNumber"/>
        </w:rPr>
        <w:t xml:space="preserve"> or age, </w:t>
      </w:r>
      <w:r w:rsidR="002668CD">
        <w:rPr>
          <w:rStyle w:val="PageNumber"/>
        </w:rPr>
        <w:t xml:space="preserve">they </w:t>
      </w:r>
      <w:r>
        <w:rPr>
          <w:rStyle w:val="PageNumber"/>
        </w:rPr>
        <w:t>also differ from other protected attributes.  Legislation prohibiting discrimination on the grounds of</w:t>
      </w:r>
      <w:r w:rsidR="008652DD">
        <w:rPr>
          <w:rStyle w:val="PageNumber"/>
        </w:rPr>
        <w:t xml:space="preserve"> </w:t>
      </w:r>
      <w:r>
        <w:rPr>
          <w:rStyle w:val="PageNumber"/>
        </w:rPr>
        <w:t>religious belief or activity needs to contend with these key policy considerations.</w:t>
      </w:r>
    </w:p>
    <w:p w14:paraId="70A6E1B1" w14:textId="43081810" w:rsidR="0039287A" w:rsidRDefault="008652DD" w:rsidP="0039287A">
      <w:pPr>
        <w:rPr>
          <w:rStyle w:val="PageNumber"/>
        </w:rPr>
      </w:pPr>
      <w:r>
        <w:rPr>
          <w:rStyle w:val="PageNumber"/>
        </w:rPr>
        <w:t xml:space="preserve">These </w:t>
      </w:r>
      <w:r w:rsidR="0039287A">
        <w:rPr>
          <w:rStyle w:val="PageNumber"/>
        </w:rPr>
        <w:t xml:space="preserve">policy considerations </w:t>
      </w:r>
      <w:r>
        <w:rPr>
          <w:rStyle w:val="PageNumber"/>
        </w:rPr>
        <w:t>include:</w:t>
      </w:r>
    </w:p>
    <w:p w14:paraId="4D2D3A83" w14:textId="102B5398" w:rsidR="0039287A" w:rsidRDefault="0039287A" w:rsidP="0039287A">
      <w:pPr>
        <w:pStyle w:val="ListParagraph"/>
        <w:numPr>
          <w:ilvl w:val="0"/>
          <w:numId w:val="21"/>
        </w:numPr>
        <w:rPr>
          <w:rStyle w:val="PageNumber"/>
        </w:rPr>
      </w:pPr>
      <w:r w:rsidRPr="00E13C4E">
        <w:rPr>
          <w:rStyle w:val="PageNumber"/>
          <w:b/>
          <w:bCs/>
        </w:rPr>
        <w:t>Everyone has the religious belief or activity attribute</w:t>
      </w:r>
      <w:r>
        <w:rPr>
          <w:rStyle w:val="PageNumber"/>
        </w:rPr>
        <w:t xml:space="preserve">, either because they have </w:t>
      </w:r>
      <w:proofErr w:type="gramStart"/>
      <w:r>
        <w:rPr>
          <w:rStyle w:val="PageNumber"/>
        </w:rPr>
        <w:t>particular religious</w:t>
      </w:r>
      <w:proofErr w:type="gramEnd"/>
      <w:r>
        <w:rPr>
          <w:rStyle w:val="PageNumber"/>
        </w:rPr>
        <w:t xml:space="preserve"> beliefs or engage in particular religious activities, or they do not.  These laws </w:t>
      </w:r>
      <w:r w:rsidR="00033B86">
        <w:rPr>
          <w:rStyle w:val="PageNumber"/>
        </w:rPr>
        <w:t>attempt</w:t>
      </w:r>
      <w:r>
        <w:rPr>
          <w:rStyle w:val="PageNumber"/>
        </w:rPr>
        <w:t xml:space="preserve"> to extend protections to everyone, which ultimately means protecting a religious belief held by one person, </w:t>
      </w:r>
      <w:r w:rsidR="002668CD">
        <w:rPr>
          <w:rStyle w:val="PageNumber"/>
        </w:rPr>
        <w:t xml:space="preserve">that </w:t>
      </w:r>
      <w:r>
        <w:rPr>
          <w:rStyle w:val="PageNumber"/>
        </w:rPr>
        <w:t xml:space="preserve">may conflict with a different belief or the absence of a belief in a different person.  Take for example, the story of the </w:t>
      </w:r>
      <w:r w:rsidRPr="00677194">
        <w:t>cou</w:t>
      </w:r>
      <w:r>
        <w:t>ple</w:t>
      </w:r>
      <w:r>
        <w:rPr>
          <w:rStyle w:val="PageNumber"/>
        </w:rPr>
        <w:t xml:space="preserve"> carrying the Christmas ham who were allegedly refused a ride by their Muslim Uber driver.</w:t>
      </w:r>
      <w:r>
        <w:rPr>
          <w:rStyle w:val="FootnoteReference"/>
        </w:rPr>
        <w:footnoteReference w:id="68"/>
      </w:r>
      <w:r>
        <w:rPr>
          <w:rStyle w:val="PageNumber"/>
        </w:rPr>
        <w:t xml:space="preserve">  Under </w:t>
      </w:r>
      <w:r w:rsidR="00FD0627">
        <w:rPr>
          <w:rStyle w:val="PageNumber"/>
        </w:rPr>
        <w:t>this Bill</w:t>
      </w:r>
      <w:r>
        <w:rPr>
          <w:rStyle w:val="PageNumber"/>
        </w:rPr>
        <w:t xml:space="preserve">, the couple refused service would be protected because they do </w:t>
      </w:r>
      <w:r w:rsidRPr="009E3E58">
        <w:rPr>
          <w:rStyle w:val="PageNumber"/>
          <w:i/>
        </w:rPr>
        <w:t>not</w:t>
      </w:r>
      <w:r>
        <w:rPr>
          <w:rStyle w:val="PageNumber"/>
        </w:rPr>
        <w:t xml:space="preserve"> engage in the religious activity of observing halal dietary requirements.</w:t>
      </w:r>
      <w:r>
        <w:rPr>
          <w:rStyle w:val="FootnoteReference"/>
        </w:rPr>
        <w:footnoteReference w:id="69"/>
      </w:r>
      <w:r>
        <w:rPr>
          <w:rStyle w:val="PageNumber"/>
        </w:rPr>
        <w:t xml:space="preserve">  Meanwhile, the Muslim driver would be protected if Uber required him, as a condition of using its platform, to carry the couple’s ham contrary to his religious observance of halal dietary requirements.</w:t>
      </w:r>
      <w:r>
        <w:rPr>
          <w:rStyle w:val="FootnoteReference"/>
        </w:rPr>
        <w:footnoteReference w:id="70"/>
      </w:r>
      <w:r>
        <w:rPr>
          <w:rStyle w:val="PageNumber"/>
        </w:rPr>
        <w:t xml:space="preserve">  Protecting people against discrimination on the grounds of race, sex, or age rarely collides with the races, sexes or ages of others in this way.  The Bill does not adequately address what happens when beliefs collide in areas of public life.</w:t>
      </w:r>
    </w:p>
    <w:p w14:paraId="5B2A8D21" w14:textId="77777777" w:rsidR="0039287A" w:rsidRDefault="0039287A" w:rsidP="0039287A">
      <w:pPr>
        <w:pStyle w:val="ListParagraph"/>
        <w:rPr>
          <w:rStyle w:val="PageNumber"/>
        </w:rPr>
      </w:pPr>
    </w:p>
    <w:p w14:paraId="70C8A036" w14:textId="1B93E291" w:rsidR="0039287A" w:rsidRDefault="0039287A" w:rsidP="0039287A">
      <w:pPr>
        <w:pStyle w:val="ListParagraph"/>
        <w:numPr>
          <w:ilvl w:val="0"/>
          <w:numId w:val="21"/>
        </w:numPr>
        <w:rPr>
          <w:rStyle w:val="PageNumber"/>
        </w:rPr>
      </w:pPr>
      <w:r w:rsidRPr="00085C9E">
        <w:rPr>
          <w:rStyle w:val="PageNumber"/>
          <w:b/>
          <w:bCs/>
        </w:rPr>
        <w:t xml:space="preserve">Religious belief, and its expression, is limitless and diverse. </w:t>
      </w:r>
      <w:r>
        <w:rPr>
          <w:rStyle w:val="PageNumber"/>
        </w:rPr>
        <w:t xml:space="preserve"> </w:t>
      </w:r>
      <w:r w:rsidR="000D4B53">
        <w:rPr>
          <w:rStyle w:val="PageNumber"/>
        </w:rPr>
        <w:t>Religious diversity</w:t>
      </w:r>
      <w:r>
        <w:rPr>
          <w:rStyle w:val="PageNumber"/>
        </w:rPr>
        <w:t xml:space="preserve"> means that the Bill provides obligations in respect of a very large, disparate and heterogenous group.  The differences within this group are often larger than their similarities.  For example, some feel compelled to cover their heads, while others are compelled to remove head coverings in sacred places.  Some are required to refrain from pork, while others are forbidden from eating beef.  Some believe polygamy is permitted, while others believe polygamy is forbidden.  Some believe women have an equal place in society, while others believe that place is equal but separate.  Some believe laws of the land must be followed, while others are called to break </w:t>
      </w:r>
      <w:proofErr w:type="gramStart"/>
      <w:r>
        <w:rPr>
          <w:rStyle w:val="PageNumber"/>
        </w:rPr>
        <w:t>laws</w:t>
      </w:r>
      <w:proofErr w:type="gramEnd"/>
      <w:r>
        <w:rPr>
          <w:rStyle w:val="PageNumber"/>
        </w:rPr>
        <w:t xml:space="preserve"> they consider unjust.  Not all believe that violence is never justified, nor do they all agree on what constitutes violence.  Yet, employers</w:t>
      </w:r>
      <w:r w:rsidR="00F200C1">
        <w:rPr>
          <w:rStyle w:val="PageNumber"/>
        </w:rPr>
        <w:t>, educational institutions</w:t>
      </w:r>
      <w:r>
        <w:rPr>
          <w:rStyle w:val="PageNumber"/>
        </w:rPr>
        <w:t xml:space="preserve"> and qualifying bodies are called to respond to </w:t>
      </w:r>
      <w:r w:rsidR="00F200C1">
        <w:rPr>
          <w:rStyle w:val="PageNumber"/>
        </w:rPr>
        <w:t xml:space="preserve">conduct </w:t>
      </w:r>
      <w:r>
        <w:rPr>
          <w:rStyle w:val="PageNumber"/>
        </w:rPr>
        <w:t>expressing these limitless and diverse beliefs by reference to legal straightjackets.</w:t>
      </w:r>
      <w:r w:rsidR="00F200C1">
        <w:rPr>
          <w:rStyle w:val="FootnoteReference"/>
        </w:rPr>
        <w:footnoteReference w:id="71"/>
      </w:r>
      <w:r>
        <w:rPr>
          <w:rStyle w:val="PageNumber"/>
        </w:rPr>
        <w:t xml:space="preserve">  Employers, educators, service providers and others are called to make requirements which reasonably accommodate religious beliefs in all its forms so as not to indirectly discriminate.</w:t>
      </w:r>
      <w:r w:rsidR="00F200C1">
        <w:rPr>
          <w:rStyle w:val="FootnoteReference"/>
        </w:rPr>
        <w:footnoteReference w:id="72"/>
      </w:r>
      <w:r>
        <w:rPr>
          <w:rStyle w:val="PageNumber"/>
        </w:rPr>
        <w:t xml:space="preserve"> </w:t>
      </w:r>
    </w:p>
    <w:p w14:paraId="5BB7375E" w14:textId="77777777" w:rsidR="0039287A" w:rsidRDefault="0039287A" w:rsidP="0039287A">
      <w:pPr>
        <w:pStyle w:val="ListParagraph"/>
        <w:rPr>
          <w:rStyle w:val="PageNumber"/>
        </w:rPr>
      </w:pPr>
    </w:p>
    <w:p w14:paraId="1ED405D0" w14:textId="528041AF" w:rsidR="0039287A" w:rsidRPr="009E4090" w:rsidRDefault="0039287A" w:rsidP="0039287A">
      <w:pPr>
        <w:pStyle w:val="ListParagraph"/>
        <w:numPr>
          <w:ilvl w:val="0"/>
          <w:numId w:val="21"/>
        </w:numPr>
        <w:rPr>
          <w:rStyle w:val="PageNumber"/>
          <w:b/>
          <w:bCs/>
        </w:rPr>
      </w:pPr>
      <w:r w:rsidRPr="009E4090">
        <w:rPr>
          <w:rStyle w:val="PageNumber"/>
          <w:b/>
          <w:bCs/>
        </w:rPr>
        <w:t>Some religions are dominant while others are not.</w:t>
      </w:r>
      <w:r>
        <w:rPr>
          <w:rStyle w:val="PageNumber"/>
          <w:b/>
          <w:bCs/>
        </w:rPr>
        <w:t xml:space="preserve">  </w:t>
      </w:r>
      <w:r>
        <w:rPr>
          <w:rStyle w:val="PageNumber"/>
        </w:rPr>
        <w:t>There are different challenges for different faith groups in Australia, based on their collective size and the degree of historical and current discrimination they face.  For example, Muslim Australians have experienced markedly high levels of harassment and abuse, particularly since September 11.</w:t>
      </w:r>
      <w:r>
        <w:rPr>
          <w:rStyle w:val="FootnoteReference"/>
        </w:rPr>
        <w:footnoteReference w:id="73"/>
      </w:r>
      <w:r>
        <w:rPr>
          <w:rStyle w:val="PageNumber"/>
        </w:rPr>
        <w:t xml:space="preserve">  Many Jewish Australians live with the continued impacts of anti-Semitism in their lives.</w:t>
      </w:r>
      <w:r>
        <w:rPr>
          <w:rStyle w:val="FootnoteReference"/>
        </w:rPr>
        <w:footnoteReference w:id="74"/>
      </w:r>
      <w:r>
        <w:rPr>
          <w:rStyle w:val="PageNumber"/>
        </w:rPr>
        <w:t xml:space="preserve">  While some faiths in Australia command a large following and can assert a degree of social, financial and political dominance and/or acceptance, others do not.  The purpose of anti-discrimination laws has always been about the alleviation of barriers to participation in areas of public life, </w:t>
      </w:r>
      <w:r>
        <w:rPr>
          <w:rStyle w:val="PageNumber"/>
        </w:rPr>
        <w:lastRenderedPageBreak/>
        <w:t>such as employment and education.  But when those areas of public life also happen to be delivered by dominant faiths, there can be few barriers to the participation of those faiths.  Instead there is a risk that their dominance overbears the wills of those who are less dominant, such as people from minority faiths who work or interact with these organisations.  Considering those differences in power and resources, there is a materially different impact in giving all faith-based organisations exemptions under discrimination laws, when it also includes dominant faith-based organisations.</w:t>
      </w:r>
      <w:r w:rsidR="009A3AE0">
        <w:rPr>
          <w:rStyle w:val="PageNumber"/>
        </w:rPr>
        <w:t xml:space="preserve">  Indeed, faith-based organisations, including large, well-established and sophisticated organisations, employ, educate and provide goods and services to millions of Australians</w:t>
      </w:r>
      <w:r w:rsidR="00346A14">
        <w:rPr>
          <w:rStyle w:val="PageNumber"/>
        </w:rPr>
        <w:t>.</w:t>
      </w:r>
      <w:r w:rsidR="009A3AE0">
        <w:rPr>
          <w:rStyle w:val="FootnoteReference"/>
        </w:rPr>
        <w:footnoteReference w:id="75"/>
      </w:r>
      <w:r w:rsidR="009A3AE0">
        <w:rPr>
          <w:rStyle w:val="PageNumber"/>
        </w:rPr>
        <w:t xml:space="preserve"> </w:t>
      </w:r>
      <w:r w:rsidR="00346A14">
        <w:rPr>
          <w:rStyle w:val="PageNumber"/>
        </w:rPr>
        <w:t xml:space="preserve"> </w:t>
      </w:r>
      <w:r w:rsidR="009A3AE0">
        <w:rPr>
          <w:rStyle w:val="PageNumber"/>
        </w:rPr>
        <w:t xml:space="preserve">Many of these organisations and services are </w:t>
      </w:r>
      <w:r w:rsidR="00346A14">
        <w:rPr>
          <w:rStyle w:val="PageNumber"/>
        </w:rPr>
        <w:t>taxpayer</w:t>
      </w:r>
      <w:r w:rsidR="009A3AE0">
        <w:rPr>
          <w:rStyle w:val="PageNumber"/>
        </w:rPr>
        <w:t xml:space="preserve"> funded or provide services in areas which the public sector has vacated.</w:t>
      </w:r>
      <w:r w:rsidR="009A3AE0">
        <w:rPr>
          <w:rStyle w:val="FootnoteReference"/>
        </w:rPr>
        <w:footnoteReference w:id="76"/>
      </w:r>
      <w:r w:rsidR="009A3AE0">
        <w:rPr>
          <w:rStyle w:val="PageNumber"/>
        </w:rPr>
        <w:t xml:space="preserve">  This Bill contains broad exemptions for faith-based organisations</w:t>
      </w:r>
      <w:r w:rsidR="009A3AE0">
        <w:rPr>
          <w:rStyle w:val="FootnoteReference"/>
        </w:rPr>
        <w:footnoteReference w:id="77"/>
      </w:r>
      <w:r w:rsidR="009A3AE0">
        <w:rPr>
          <w:rStyle w:val="PageNumber"/>
        </w:rPr>
        <w:t xml:space="preserve"> which fails to grapple with the diversity of this sector and the responsibility it has, and will have for the foreseeable future, in employing, educating and delivering essential services to millions of Australians of differing or no religious belief.  </w:t>
      </w:r>
    </w:p>
    <w:p w14:paraId="46EFCF49" w14:textId="77777777" w:rsidR="0039287A" w:rsidRDefault="0039287A" w:rsidP="0039287A">
      <w:pPr>
        <w:pStyle w:val="ListParagraph"/>
        <w:rPr>
          <w:rStyle w:val="PageNumber"/>
        </w:rPr>
      </w:pPr>
    </w:p>
    <w:p w14:paraId="29D72EB8" w14:textId="2A1480D8" w:rsidR="00E6768B" w:rsidRDefault="0039287A" w:rsidP="00E6768B">
      <w:pPr>
        <w:pStyle w:val="ListParagraph"/>
        <w:numPr>
          <w:ilvl w:val="0"/>
          <w:numId w:val="21"/>
        </w:numPr>
      </w:pPr>
      <w:r>
        <w:rPr>
          <w:rStyle w:val="PageNumber"/>
          <w:b/>
          <w:bCs/>
        </w:rPr>
        <w:t>Religious beliefs, doctrines, tenets and teachings</w:t>
      </w:r>
      <w:r w:rsidRPr="0039502D">
        <w:rPr>
          <w:rStyle w:val="PageNumber"/>
          <w:b/>
          <w:bCs/>
        </w:rPr>
        <w:t xml:space="preserve"> evolve.</w:t>
      </w:r>
      <w:r>
        <w:rPr>
          <w:rStyle w:val="PageNumber"/>
          <w:b/>
          <w:bCs/>
        </w:rPr>
        <w:t xml:space="preserve">  </w:t>
      </w:r>
      <w:r w:rsidRPr="0039502D">
        <w:rPr>
          <w:rStyle w:val="PageNumber"/>
        </w:rPr>
        <w:t>Religions</w:t>
      </w:r>
      <w:r>
        <w:rPr>
          <w:rStyle w:val="PageNumber"/>
        </w:rPr>
        <w:t xml:space="preserve"> have changed their views as their holy texts are revaluated and reinterpreted.  Accordingly, doctrines, tenets, beliefs and teachings change.  So, when drafting a law that will protect against religious discrimination in the enduring way that anti-discrimination statutes come to be held, it is important to get the settings right from the start.  </w:t>
      </w:r>
      <w:r w:rsidR="00AA27EC">
        <w:rPr>
          <w:rStyle w:val="PageNumber"/>
        </w:rPr>
        <w:t xml:space="preserve">Laws require </w:t>
      </w:r>
      <w:r w:rsidR="006C7B46">
        <w:rPr>
          <w:rStyle w:val="PageNumber"/>
        </w:rPr>
        <w:t xml:space="preserve">language </w:t>
      </w:r>
      <w:r w:rsidR="009C0A42">
        <w:rPr>
          <w:rStyle w:val="PageNumber"/>
        </w:rPr>
        <w:t xml:space="preserve">imbued with </w:t>
      </w:r>
      <w:r w:rsidR="00AA27EC">
        <w:rPr>
          <w:rStyle w:val="PageNumber"/>
        </w:rPr>
        <w:t>flexibility</w:t>
      </w:r>
      <w:r>
        <w:rPr>
          <w:rStyle w:val="PageNumber"/>
        </w:rPr>
        <w:t xml:space="preserve">, </w:t>
      </w:r>
      <w:r w:rsidR="00E17007">
        <w:rPr>
          <w:rStyle w:val="PageNumber"/>
        </w:rPr>
        <w:t xml:space="preserve">which work </w:t>
      </w:r>
      <w:r w:rsidR="00057AD6">
        <w:rPr>
          <w:rStyle w:val="PageNumber"/>
        </w:rPr>
        <w:t xml:space="preserve">to keep the statute contemporary.  </w:t>
      </w:r>
      <w:r>
        <w:rPr>
          <w:rStyle w:val="PageNumber"/>
        </w:rPr>
        <w:t xml:space="preserve">The test of ‘reasonableness’ in anti-discrimination laws, as do other balancing provisions, </w:t>
      </w:r>
      <w:r w:rsidR="00057AD6">
        <w:rPr>
          <w:rStyle w:val="PageNumber"/>
        </w:rPr>
        <w:t xml:space="preserve">do that work.  </w:t>
      </w:r>
      <w:r w:rsidR="00E17007">
        <w:rPr>
          <w:rStyle w:val="PageNumber"/>
        </w:rPr>
        <w:t xml:space="preserve">On the other hand, the ‘no consequences </w:t>
      </w:r>
      <w:r w:rsidR="0038004E">
        <w:rPr>
          <w:rStyle w:val="PageNumber"/>
        </w:rPr>
        <w:t>for conduct</w:t>
      </w:r>
      <w:r w:rsidR="00E17007">
        <w:rPr>
          <w:rStyle w:val="PageNumber"/>
        </w:rPr>
        <w:t>’</w:t>
      </w:r>
      <w:r w:rsidR="0038004E">
        <w:rPr>
          <w:rStyle w:val="PageNumber"/>
        </w:rPr>
        <w:t xml:space="preserve"> provisions displace </w:t>
      </w:r>
      <w:r w:rsidR="00E17007">
        <w:rPr>
          <w:rStyle w:val="PageNumber"/>
        </w:rPr>
        <w:t>that flexibility, preventing all relevant circumstances from being overtaken</w:t>
      </w:r>
      <w:r w:rsidR="00FD2410">
        <w:rPr>
          <w:rStyle w:val="PageNumber"/>
        </w:rPr>
        <w:t xml:space="preserve"> into account</w:t>
      </w:r>
      <w:r w:rsidR="0038004E">
        <w:rPr>
          <w:rStyle w:val="PageNumber"/>
        </w:rPr>
        <w:t>.  Given the evolution of beliefs and v</w:t>
      </w:r>
      <w:r w:rsidR="008652DD">
        <w:rPr>
          <w:rStyle w:val="PageNumber"/>
        </w:rPr>
        <w:t>alues</w:t>
      </w:r>
      <w:r w:rsidR="0038004E">
        <w:rPr>
          <w:rStyle w:val="PageNumber"/>
        </w:rPr>
        <w:t>, i</w:t>
      </w:r>
      <w:r w:rsidR="00AE3C5B">
        <w:rPr>
          <w:rStyle w:val="PageNumber"/>
        </w:rPr>
        <w:t xml:space="preserve">t is an error to draw on </w:t>
      </w:r>
      <w:r>
        <w:rPr>
          <w:rStyle w:val="PageNumber"/>
        </w:rPr>
        <w:t>isolated cases today and convert them into inflexible principles, which will apply to everyone, tomorrow.</w:t>
      </w:r>
      <w:r w:rsidR="00AE3C5B">
        <w:rPr>
          <w:rStyle w:val="PageNumber"/>
        </w:rPr>
        <w:t xml:space="preserve">  </w:t>
      </w:r>
    </w:p>
    <w:p w14:paraId="70C0A718" w14:textId="35113ABC" w:rsidR="00E6768B" w:rsidRPr="0039287A" w:rsidRDefault="00E6768B" w:rsidP="00E6768B">
      <w:r>
        <w:t xml:space="preserve">Any legislation proposing to enter the field of religious discrimination needs to confront </w:t>
      </w:r>
      <w:r w:rsidR="00A15BDB">
        <w:t>and accommodate these policy considerations.  Through its provisions and exceptions, this Bill has not done this effectively.  Accordingly, we do not support it.</w:t>
      </w:r>
    </w:p>
    <w:p w14:paraId="5F862084" w14:textId="77777777" w:rsidR="009157B5" w:rsidRPr="009157B5" w:rsidRDefault="009157B5" w:rsidP="009157B5"/>
    <w:sectPr w:rsidR="009157B5" w:rsidRPr="009157B5" w:rsidSect="00BB79D2">
      <w:pgSz w:w="11907" w:h="16840" w:code="9"/>
      <w:pgMar w:top="1644" w:right="1021" w:bottom="1644" w:left="1985"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3731C" w14:textId="77777777" w:rsidR="004D4F58" w:rsidRDefault="004D4F58" w:rsidP="00CA34DF">
      <w:r>
        <w:separator/>
      </w:r>
    </w:p>
  </w:endnote>
  <w:endnote w:type="continuationSeparator" w:id="0">
    <w:p w14:paraId="4EDDAED9" w14:textId="77777777" w:rsidR="004D4F58" w:rsidRDefault="004D4F58" w:rsidP="00CA34DF">
      <w:r>
        <w:continuationSeparator/>
      </w:r>
    </w:p>
  </w:endnote>
  <w:endnote w:type="continuationNotice" w:id="1">
    <w:p w14:paraId="1F4CEE52" w14:textId="77777777" w:rsidR="004D4F58" w:rsidRDefault="004D4F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alibri"/>
    <w:panose1 w:val="00000400000000000000"/>
    <w:charset w:val="00"/>
    <w:family w:val="modern"/>
    <w:notTrueType/>
    <w:pitch w:val="variable"/>
    <w:sig w:usb0="00000007" w:usb1="00000020" w:usb2="00000000" w:usb3="00000000" w:csb0="00000093" w:csb1="00000000"/>
  </w:font>
  <w:font w:name="Overpass">
    <w:altName w:val="Calibri"/>
    <w:panose1 w:val="00000500000000000000"/>
    <w:charset w:val="00"/>
    <w:family w:val="modern"/>
    <w:notTrueType/>
    <w:pitch w:val="variable"/>
    <w:sig w:usb0="00000007" w:usb1="0000002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PhosphateSolid">
    <w:altName w:val="Calibri"/>
    <w:panose1 w:val="02000606020000020004"/>
    <w:charset w:val="00"/>
    <w:family w:val="auto"/>
    <w:pitch w:val="variable"/>
    <w:sig w:usb0="800000A3" w:usb1="00000000" w:usb2="00000000" w:usb3="00000000" w:csb0="00000009" w:csb1="00000000"/>
    <w:embedRegular r:id="rId1" w:fontKey="{C7BD671A-EDE7-4135-A15D-823174D9032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FE7D" w14:textId="77777777" w:rsidR="00F93FCD" w:rsidRDefault="00F93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D0AA" w14:textId="279474AF" w:rsidR="00F1139C" w:rsidRDefault="00F1139C" w:rsidP="00CF4449">
    <w:pPr>
      <w:pStyle w:val="P1footer0"/>
    </w:pPr>
    <w:r>
      <w:rPr>
        <w:noProof/>
        <w:color w:val="2B579A"/>
        <w:shd w:val="clear" w:color="auto" w:fill="E6E6E6"/>
      </w:rPr>
      <w:drawing>
        <wp:anchor distT="0" distB="0" distL="114300" distR="114300" simplePos="0" relativeHeight="251658242" behindDoc="1" locked="0" layoutInCell="1" allowOverlap="1" wp14:anchorId="50792C8C" wp14:editId="5DA8552D">
          <wp:simplePos x="0" y="0"/>
          <wp:positionH relativeFrom="page">
            <wp:posOffset>0</wp:posOffset>
          </wp:positionH>
          <wp:positionV relativeFrom="margin">
            <wp:posOffset>6917055</wp:posOffset>
          </wp:positionV>
          <wp:extent cx="7559040" cy="2729907"/>
          <wp:effectExtent l="0" t="0" r="3810" b="0"/>
          <wp:wrapNone/>
          <wp:docPr id="1" name="Angle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_Page_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729907"/>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mc:AlternateContent>
        <mc:Choice Requires="wps">
          <w:drawing>
            <wp:anchor distT="0" distB="0" distL="114300" distR="114300" simplePos="0" relativeHeight="251658241" behindDoc="1" locked="0" layoutInCell="1" allowOverlap="1" wp14:anchorId="2B5D5DDE" wp14:editId="62A44DFD">
              <wp:simplePos x="0" y="0"/>
              <wp:positionH relativeFrom="column">
                <wp:posOffset>-1260475</wp:posOffset>
              </wp:positionH>
              <wp:positionV relativeFrom="paragraph">
                <wp:posOffset>-2211749</wp:posOffset>
              </wp:positionV>
              <wp:extent cx="7560000" cy="2332800"/>
              <wp:effectExtent l="0" t="0" r="3175" b="0"/>
              <wp:wrapNone/>
              <wp:docPr id="5" name="Solid blue bottom"/>
              <wp:cNvGraphicFramePr/>
              <a:graphic xmlns:a="http://schemas.openxmlformats.org/drawingml/2006/main">
                <a:graphicData uri="http://schemas.microsoft.com/office/word/2010/wordprocessingShape">
                  <wps:wsp>
                    <wps:cNvSpPr/>
                    <wps:spPr>
                      <a:xfrm>
                        <a:off x="0" y="0"/>
                        <a:ext cx="7560000" cy="2332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21BA" id="Solid blue bottom" o:spid="_x0000_s1026" style="position:absolute;margin-left:-99.25pt;margin-top:-174.15pt;width:595.3pt;height:18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" fillcolor="#00a0e6 [3204]"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19D7" w14:textId="77777777" w:rsidR="00F93FCD" w:rsidRDefault="00F93F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5647" w14:textId="182F7F22" w:rsidR="00F1139C" w:rsidRPr="0031655E" w:rsidRDefault="00F1139C" w:rsidP="0031655E">
    <w:pPr>
      <w:pStyle w:val="Footer"/>
    </w:pPr>
    <w:r>
      <w:t xml:space="preserve">Equality Australia Submission on the Anti-Discrimination Amendment (Religious Freedoms and Equality) Bill 2020 </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F1139C" w:rsidRPr="00E20450" w14:paraId="1F9BFC0C" w14:textId="77777777" w:rsidTr="0011785E">
      <w:tc>
        <w:tcPr>
          <w:tcW w:w="4560" w:type="dxa"/>
        </w:tcPr>
        <w:p w14:paraId="11390478" w14:textId="77777777" w:rsidR="00F1139C" w:rsidRPr="0011785E" w:rsidRDefault="00F1139C" w:rsidP="0011785E">
          <w:pPr>
            <w:pStyle w:val="FooterEQAU"/>
          </w:pPr>
          <w:r w:rsidRPr="0011785E">
            <w:t>equalityaustralia.org.au</w:t>
          </w:r>
        </w:p>
      </w:tc>
      <w:tc>
        <w:tcPr>
          <w:tcW w:w="4570" w:type="dxa"/>
        </w:tcPr>
        <w:p w14:paraId="536D3520" w14:textId="3841C210" w:rsidR="00F1139C" w:rsidRPr="0011785E" w:rsidRDefault="00F1139C" w:rsidP="0011785E">
          <w:pPr>
            <w:pStyle w:val="Page"/>
            <w:jc w:val="right"/>
          </w:pPr>
          <w:r>
            <w:t xml:space="preserve">Page </w:t>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t>1</w:t>
          </w:r>
          <w:r>
            <w:rPr>
              <w:color w:val="2B579A"/>
              <w:shd w:val="clear" w:color="auto" w:fill="E6E6E6"/>
            </w:rPr>
            <w:fldChar w:fldCharType="end"/>
          </w:r>
        </w:p>
      </w:tc>
    </w:tr>
  </w:tbl>
  <w:p w14:paraId="70755F14" w14:textId="230851DB" w:rsidR="00F1139C" w:rsidRPr="00401EEF" w:rsidRDefault="00F1139C" w:rsidP="00401EEF">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A5AC" w14:textId="77777777" w:rsidR="004D4F58" w:rsidRDefault="004D4F58" w:rsidP="00CA34DF">
      <w:r>
        <w:separator/>
      </w:r>
    </w:p>
  </w:footnote>
  <w:footnote w:type="continuationSeparator" w:id="0">
    <w:p w14:paraId="042AC86F" w14:textId="77777777" w:rsidR="004D4F58" w:rsidRDefault="004D4F58" w:rsidP="00CA34DF">
      <w:r>
        <w:continuationSeparator/>
      </w:r>
    </w:p>
  </w:footnote>
  <w:footnote w:type="continuationNotice" w:id="1">
    <w:p w14:paraId="642BE212" w14:textId="77777777" w:rsidR="004D4F58" w:rsidRDefault="004D4F58">
      <w:pPr>
        <w:spacing w:before="0" w:after="0" w:line="240" w:lineRule="auto"/>
      </w:pPr>
    </w:p>
  </w:footnote>
  <w:footnote w:id="2">
    <w:p w14:paraId="44273B01" w14:textId="77777777" w:rsidR="00F1139C" w:rsidRPr="00702A1A" w:rsidRDefault="00F1139C" w:rsidP="002409A2">
      <w:pPr>
        <w:pStyle w:val="FootnoteText"/>
        <w:rPr>
          <w:lang w:val="en-GB"/>
        </w:rPr>
      </w:pPr>
      <w:r>
        <w:rPr>
          <w:rStyle w:val="FootnoteReference"/>
        </w:rPr>
        <w:footnoteRef/>
      </w:r>
      <w:r>
        <w:t xml:space="preserve"> </w:t>
      </w:r>
      <w:r>
        <w:rPr>
          <w:lang w:val="en-GB"/>
        </w:rPr>
        <w:t xml:space="preserve">For example, see submissions of the Australian Industry Group, Australian Chamber of Commerce, Australian Council of Trade Unions, Australian Discrimination Law Experts Group, </w:t>
      </w:r>
      <w:r>
        <w:rPr>
          <w:rStyle w:val="PageNumber"/>
        </w:rPr>
        <w:t xml:space="preserve">Australian Federation of AIDS Organisations (AFAO), Australian Human Rights Commission, </w:t>
      </w:r>
      <w:r w:rsidRPr="3F5DD990">
        <w:rPr>
          <w:rStyle w:val="PageNumber"/>
        </w:rPr>
        <w:t>Australian Medical Association</w:t>
      </w:r>
      <w:r>
        <w:rPr>
          <w:rStyle w:val="PageNumber"/>
        </w:rPr>
        <w:t xml:space="preserve">, Australian Nursing and Midwifery Federation, Equal Voices, Intersex Human Rights Australia, </w:t>
      </w:r>
      <w:r w:rsidRPr="3F5DD990">
        <w:rPr>
          <w:rStyle w:val="PageNumber"/>
        </w:rPr>
        <w:t>Law Council of Australia</w:t>
      </w:r>
      <w:r>
        <w:rPr>
          <w:rStyle w:val="PageNumber"/>
        </w:rPr>
        <w:t xml:space="preserve">, National Secular Lobby, Mental Health Australia, Public Interest Advocacy Centre, Rainbow Families, Royal Australian and New Zealand College of Psychiatrists and Uniting Church via the Attorney-General’s consultation website: </w:t>
      </w:r>
      <w:hyperlink r:id="rId1" w:history="1">
        <w:r w:rsidRPr="00773FCA">
          <w:rPr>
            <w:rStyle w:val="Hyperlink"/>
          </w:rPr>
          <w:t>www.ag.gov.au/Consultations/Pages/religious-freedom-bills.aspx</w:t>
        </w:r>
      </w:hyperlink>
      <w:r>
        <w:t>.</w:t>
      </w:r>
    </w:p>
  </w:footnote>
  <w:footnote w:id="3">
    <w:p w14:paraId="3F7E4542" w14:textId="732A3D00" w:rsidR="00F1139C" w:rsidRDefault="00F1139C">
      <w:pPr>
        <w:pStyle w:val="FootnoteText"/>
      </w:pPr>
      <w:r>
        <w:rPr>
          <w:rStyle w:val="FootnoteReference"/>
        </w:rPr>
        <w:footnoteRef/>
      </w:r>
      <w:r>
        <w:t xml:space="preserve"> A narrow provision currently exists only in the case of sexual harassment: </w:t>
      </w:r>
      <w:r w:rsidRPr="00682003">
        <w:rPr>
          <w:i/>
          <w:iCs/>
        </w:rPr>
        <w:t>Anti-Discrimination Act 1977</w:t>
      </w:r>
      <w:r>
        <w:t xml:space="preserve"> (NSW) (</w:t>
      </w:r>
      <w:r w:rsidRPr="00803F59">
        <w:rPr>
          <w:b/>
          <w:bCs/>
        </w:rPr>
        <w:t>ADA</w:t>
      </w:r>
      <w:r>
        <w:t>), s 22J.</w:t>
      </w:r>
    </w:p>
  </w:footnote>
  <w:footnote w:id="4">
    <w:p w14:paraId="391A8EBE" w14:textId="549FEC65" w:rsidR="00F1139C" w:rsidRDefault="00F1139C">
      <w:pPr>
        <w:pStyle w:val="FootnoteText"/>
      </w:pPr>
      <w:r>
        <w:rPr>
          <w:rStyle w:val="FootnoteReference"/>
        </w:rPr>
        <w:footnoteRef/>
      </w:r>
      <w:r>
        <w:t xml:space="preserve"> See </w:t>
      </w:r>
      <w:hyperlink r:id="rId2" w:anchor="tab-resolution" w:history="1">
        <w:r>
          <w:rPr>
            <w:rStyle w:val="Hyperlink"/>
          </w:rPr>
          <w:t>https://www.parliament.nsw.gov.au/committees/listofcommittees/Pages/committee-details.aspx?pk=267#tab-resolution</w:t>
        </w:r>
      </w:hyperlink>
      <w:r>
        <w:t>.</w:t>
      </w:r>
    </w:p>
  </w:footnote>
  <w:footnote w:id="5">
    <w:p w14:paraId="21856271" w14:textId="6F9F9AEF" w:rsidR="00F1139C" w:rsidRDefault="00F1139C">
      <w:pPr>
        <w:pStyle w:val="FootnoteText"/>
      </w:pPr>
      <w:r>
        <w:rPr>
          <w:rStyle w:val="FootnoteReference"/>
        </w:rPr>
        <w:footnoteRef/>
      </w:r>
      <w:r>
        <w:t xml:space="preserve"> </w:t>
      </w:r>
      <w:r w:rsidRPr="005638ED">
        <w:t>Bill,  ss 22N(4)(a)(ii) and (b), 22S(3)(a)(ii) and (b), and 22V(4)(a)(ii).</w:t>
      </w:r>
    </w:p>
  </w:footnote>
  <w:footnote w:id="6">
    <w:p w14:paraId="1BF4D969" w14:textId="5907B311" w:rsidR="00F1139C" w:rsidRDefault="00F1139C">
      <w:pPr>
        <w:pStyle w:val="FootnoteText"/>
      </w:pPr>
      <w:r>
        <w:rPr>
          <w:rStyle w:val="FootnoteReference"/>
        </w:rPr>
        <w:footnoteRef/>
      </w:r>
      <w:r>
        <w:t xml:space="preserve"> </w:t>
      </w:r>
      <w:r w:rsidRPr="00C544AF">
        <w:t>Bill,  ss 22N(5), 22S(4) and 22V(5).</w:t>
      </w:r>
    </w:p>
  </w:footnote>
  <w:footnote w:id="7">
    <w:p w14:paraId="66EA0D2C" w14:textId="25B5F34F" w:rsidR="00F1139C" w:rsidRDefault="00F1139C">
      <w:pPr>
        <w:pStyle w:val="FootnoteText"/>
      </w:pPr>
      <w:r>
        <w:rPr>
          <w:rStyle w:val="FootnoteReference"/>
        </w:rPr>
        <w:footnoteRef/>
      </w:r>
      <w:r>
        <w:t xml:space="preserve"> Bill, s 22</w:t>
      </w:r>
      <w:r>
        <w:t xml:space="preserve">K(1) (definition of </w:t>
      </w:r>
      <w:r w:rsidRPr="3B859BCD">
        <w:rPr>
          <w:b/>
          <w:bCs/>
          <w:i/>
          <w:iCs/>
        </w:rPr>
        <w:t>religious activities</w:t>
      </w:r>
      <w:r>
        <w:t>).</w:t>
      </w:r>
    </w:p>
  </w:footnote>
  <w:footnote w:id="8">
    <w:p w14:paraId="304D9D82" w14:textId="09AC8CEA" w:rsidR="00F1139C" w:rsidRDefault="00F1139C">
      <w:pPr>
        <w:pStyle w:val="FootnoteText"/>
      </w:pPr>
      <w:r>
        <w:rPr>
          <w:rStyle w:val="FootnoteReference"/>
        </w:rPr>
        <w:footnoteRef/>
      </w:r>
      <w:r w:rsidRPr="00181CD7">
        <w:t xml:space="preserve"> Bill, s</w:t>
      </w:r>
      <w:r>
        <w:t>s</w:t>
      </w:r>
      <w:r w:rsidRPr="00181CD7">
        <w:t xml:space="preserve"> 22N(4)(a)(i)</w:t>
      </w:r>
      <w:r>
        <w:t xml:space="preserve"> </w:t>
      </w:r>
    </w:p>
  </w:footnote>
  <w:footnote w:id="9">
    <w:p w14:paraId="5A62B16F" w14:textId="062E9474" w:rsidR="00F1139C" w:rsidRDefault="00F1139C" w:rsidP="007F648E">
      <w:pPr>
        <w:pStyle w:val="FootnoteText"/>
      </w:pPr>
      <w:r>
        <w:rPr>
          <w:rStyle w:val="FootnoteReference"/>
        </w:rPr>
        <w:footnoteRef/>
      </w:r>
      <w:r>
        <w:t xml:space="preserve"> See, for example, </w:t>
      </w:r>
      <w:r w:rsidRPr="3B859BCD">
        <w:rPr>
          <w:i/>
          <w:iCs/>
        </w:rPr>
        <w:t>O’Keefe v Williams Muir’s Pty Limited T/A Troy Williams The Good Guys</w:t>
      </w:r>
      <w:r>
        <w:t xml:space="preserve"> </w:t>
      </w:r>
      <w:r w:rsidRPr="00777FB3">
        <w:t>[2011] FWC 531</w:t>
      </w:r>
      <w:r>
        <w:t>1 at [43]</w:t>
      </w:r>
    </w:p>
  </w:footnote>
  <w:footnote w:id="10">
    <w:p w14:paraId="1C9E2DF1" w14:textId="74D655DD" w:rsidR="00F1139C" w:rsidRPr="00D27455" w:rsidRDefault="00F1139C" w:rsidP="3B859BCD">
      <w:pPr>
        <w:pStyle w:val="FootnoteText"/>
      </w:pPr>
      <w:r>
        <w:rPr>
          <w:rStyle w:val="FootnoteReference"/>
        </w:rPr>
        <w:footnoteRef/>
      </w:r>
      <w:r w:rsidRPr="00181CD7">
        <w:t xml:space="preserve"> Bill, s 22N(4)(a)(i).</w:t>
      </w:r>
    </w:p>
  </w:footnote>
  <w:footnote w:id="11">
    <w:p w14:paraId="1322C63F" w14:textId="06DC0FA7" w:rsidR="00F1139C" w:rsidRDefault="00F1139C">
      <w:pPr>
        <w:pStyle w:val="FootnoteText"/>
      </w:pPr>
      <w:r>
        <w:rPr>
          <w:rStyle w:val="FootnoteReference"/>
        </w:rPr>
        <w:footnoteRef/>
      </w:r>
      <w:r>
        <w:t xml:space="preserve"> Bill, s 22</w:t>
      </w:r>
      <w:r>
        <w:t xml:space="preserve">K(1) </w:t>
      </w:r>
      <w:r w:rsidRPr="00CF339B">
        <w:t xml:space="preserve">(definition of </w:t>
      </w:r>
      <w:r w:rsidRPr="00CF339B">
        <w:rPr>
          <w:b/>
          <w:i/>
        </w:rPr>
        <w:t>religious activities</w:t>
      </w:r>
      <w:r w:rsidRPr="00CF339B">
        <w:t>)</w:t>
      </w:r>
      <w:r>
        <w:t>.</w:t>
      </w:r>
    </w:p>
  </w:footnote>
  <w:footnote w:id="12">
    <w:p w14:paraId="06CF962A" w14:textId="1785A7A5" w:rsidR="00F1139C" w:rsidRDefault="00F1139C">
      <w:pPr>
        <w:pStyle w:val="FootnoteText"/>
      </w:pPr>
      <w:r>
        <w:rPr>
          <w:rStyle w:val="FootnoteReference"/>
        </w:rPr>
        <w:footnoteRef/>
      </w:r>
      <w:r>
        <w:t xml:space="preserve"> </w:t>
      </w:r>
      <w:r w:rsidRPr="00CE391A">
        <w:rPr>
          <w:i/>
          <w:iCs/>
        </w:rPr>
        <w:t>HCCC v Sharah</w:t>
      </w:r>
      <w:r>
        <w:t xml:space="preserve"> [2015] NSWCATOD 99.</w:t>
      </w:r>
    </w:p>
  </w:footnote>
  <w:footnote w:id="13">
    <w:p w14:paraId="2F52667B" w14:textId="236A177C" w:rsidR="00F1139C" w:rsidRPr="003566D4" w:rsidRDefault="00F1139C">
      <w:pPr>
        <w:pStyle w:val="FootnoteText"/>
      </w:pPr>
      <w:r>
        <w:rPr>
          <w:rStyle w:val="FootnoteReference"/>
        </w:rPr>
        <w:footnoteRef/>
      </w:r>
      <w:r>
        <w:t xml:space="preserve"> </w:t>
      </w:r>
      <w:r>
        <w:rPr>
          <w:i/>
          <w:iCs/>
        </w:rPr>
        <w:t xml:space="preserve">Re Craddock </w:t>
      </w:r>
      <w:r>
        <w:t>[2012] NSWMPSC 8.</w:t>
      </w:r>
    </w:p>
  </w:footnote>
  <w:footnote w:id="14">
    <w:p w14:paraId="121D0238" w14:textId="0B74C5ED" w:rsidR="00F1139C" w:rsidRDefault="00F1139C">
      <w:pPr>
        <w:pStyle w:val="FootnoteText"/>
      </w:pPr>
      <w:r>
        <w:rPr>
          <w:rStyle w:val="FootnoteReference"/>
        </w:rPr>
        <w:footnoteRef/>
      </w:r>
      <w:r>
        <w:t xml:space="preserve"> </w:t>
      </w:r>
      <w:r w:rsidRPr="00CE391A">
        <w:rPr>
          <w:i/>
          <w:iCs/>
        </w:rPr>
        <w:t>HCCC v Tynan</w:t>
      </w:r>
      <w:r>
        <w:t xml:space="preserve"> [2010] NSWPST 1.</w:t>
      </w:r>
    </w:p>
  </w:footnote>
  <w:footnote w:id="15">
    <w:p w14:paraId="3B5B1D1E" w14:textId="1416FA82" w:rsidR="00F1139C" w:rsidRDefault="00F1139C">
      <w:pPr>
        <w:pStyle w:val="FootnoteText"/>
      </w:pPr>
      <w:r>
        <w:rPr>
          <w:rStyle w:val="FootnoteReference"/>
        </w:rPr>
        <w:footnoteRef/>
      </w:r>
      <w:r>
        <w:t xml:space="preserve"> </w:t>
      </w:r>
      <w:r w:rsidRPr="00CE391A">
        <w:rPr>
          <w:i/>
          <w:iCs/>
        </w:rPr>
        <w:t>Dr Paul Gardner</w:t>
      </w:r>
      <w:r>
        <w:t xml:space="preserve"> [2007] DPBV 1.</w:t>
      </w:r>
    </w:p>
  </w:footnote>
  <w:footnote w:id="16">
    <w:p w14:paraId="6E39EDAD" w14:textId="4E8C9A72" w:rsidR="00F1139C" w:rsidRDefault="00F1139C">
      <w:pPr>
        <w:pStyle w:val="FootnoteText"/>
      </w:pPr>
      <w:r>
        <w:rPr>
          <w:rStyle w:val="FootnoteReference"/>
        </w:rPr>
        <w:footnoteRef/>
      </w:r>
      <w:r>
        <w:t xml:space="preserve"> </w:t>
      </w:r>
      <w:r w:rsidRPr="00CE391A">
        <w:rPr>
          <w:i/>
          <w:iCs/>
        </w:rPr>
        <w:t>HCCC v Dr Kwan</w:t>
      </w:r>
      <w:r>
        <w:t xml:space="preserve"> [2005] NSWMT 23.</w:t>
      </w:r>
    </w:p>
  </w:footnote>
  <w:footnote w:id="17">
    <w:p w14:paraId="13A2F28B" w14:textId="3EF60392" w:rsidR="00F1139C" w:rsidRPr="00A92ACB" w:rsidRDefault="00F1139C">
      <w:pPr>
        <w:pStyle w:val="FootnoteText"/>
      </w:pPr>
      <w:r>
        <w:rPr>
          <w:rStyle w:val="FootnoteReference"/>
        </w:rPr>
        <w:footnoteRef/>
      </w:r>
      <w:r>
        <w:t xml:space="preserve"> </w:t>
      </w:r>
      <w:r>
        <w:rPr>
          <w:i/>
          <w:iCs/>
        </w:rPr>
        <w:t xml:space="preserve">Case 7 </w:t>
      </w:r>
      <w:r>
        <w:t>[2005] SAPSB 1.</w:t>
      </w:r>
    </w:p>
  </w:footnote>
  <w:footnote w:id="18">
    <w:p w14:paraId="73B67A40" w14:textId="79FD6203" w:rsidR="00F1139C" w:rsidRDefault="00F1139C">
      <w:pPr>
        <w:pStyle w:val="FootnoteText"/>
      </w:pPr>
      <w:r>
        <w:rPr>
          <w:rStyle w:val="FootnoteReference"/>
        </w:rPr>
        <w:footnoteRef/>
      </w:r>
      <w:r>
        <w:t xml:space="preserve"> Bill, s 22</w:t>
      </w:r>
      <w:r>
        <w:t xml:space="preserve">K(1) (definition of </w:t>
      </w:r>
      <w:r w:rsidRPr="006C4BEC">
        <w:rPr>
          <w:b/>
          <w:bCs/>
          <w:i/>
          <w:iCs/>
        </w:rPr>
        <w:t>religious ethos organisation</w:t>
      </w:r>
      <w:r>
        <w:t>).</w:t>
      </w:r>
    </w:p>
  </w:footnote>
  <w:footnote w:id="19">
    <w:p w14:paraId="0A6EF19B" w14:textId="77777777" w:rsidR="00F1139C" w:rsidRDefault="00F1139C" w:rsidP="001D0AD6">
      <w:pPr>
        <w:pStyle w:val="FootnoteText"/>
      </w:pPr>
      <w:r>
        <w:rPr>
          <w:rStyle w:val="FootnoteReference"/>
        </w:rPr>
        <w:footnoteRef/>
      </w:r>
      <w:r>
        <w:t xml:space="preserve"> Bill, s 22M(1)(c).</w:t>
      </w:r>
    </w:p>
  </w:footnote>
  <w:footnote w:id="20">
    <w:p w14:paraId="5AC7A9BA" w14:textId="22B2AA27" w:rsidR="00F1139C" w:rsidRDefault="00F1139C">
      <w:pPr>
        <w:pStyle w:val="FootnoteText"/>
      </w:pPr>
      <w:r>
        <w:rPr>
          <w:rStyle w:val="FootnoteReference"/>
        </w:rPr>
        <w:footnoteRef/>
      </w:r>
      <w:r>
        <w:t xml:space="preserve"> </w:t>
      </w:r>
      <w:r w:rsidRPr="00B44783">
        <w:t xml:space="preserve">Bill, ss 22K(l) (definition of </w:t>
      </w:r>
      <w:r w:rsidRPr="00B44783">
        <w:rPr>
          <w:b/>
          <w:i/>
        </w:rPr>
        <w:t>genuinely believes</w:t>
      </w:r>
      <w:r w:rsidRPr="00B44783">
        <w:t>) and 22KA; Explanatory Note to the Anti-Discrimination Amendment (Religious Freedoms and Equality) Bill 2020, p. 2.</w:t>
      </w:r>
    </w:p>
  </w:footnote>
  <w:footnote w:id="21">
    <w:p w14:paraId="3DFB0BF4" w14:textId="32A46347" w:rsidR="00F1139C" w:rsidRDefault="00F1139C">
      <w:pPr>
        <w:pStyle w:val="FootnoteText"/>
      </w:pPr>
      <w:r>
        <w:rPr>
          <w:rStyle w:val="FootnoteReference"/>
        </w:rPr>
        <w:footnoteRef/>
      </w:r>
      <w:r>
        <w:t xml:space="preserve"> Bill, s 22U.</w:t>
      </w:r>
    </w:p>
  </w:footnote>
  <w:footnote w:id="22">
    <w:p w14:paraId="58ECE840" w14:textId="157CD3CD" w:rsidR="00F1139C" w:rsidRDefault="00F1139C">
      <w:pPr>
        <w:pStyle w:val="FootnoteText"/>
      </w:pPr>
      <w:r>
        <w:rPr>
          <w:rStyle w:val="FootnoteReference"/>
        </w:rPr>
        <w:footnoteRef/>
      </w:r>
      <w:r>
        <w:t xml:space="preserve"> Bill, s 22</w:t>
      </w:r>
      <w:r>
        <w:t>M(3).</w:t>
      </w:r>
    </w:p>
  </w:footnote>
  <w:footnote w:id="23">
    <w:p w14:paraId="66ED8564" w14:textId="3163D58A" w:rsidR="00F1139C" w:rsidRDefault="00F1139C">
      <w:pPr>
        <w:pStyle w:val="FootnoteText"/>
      </w:pPr>
      <w:r>
        <w:rPr>
          <w:rStyle w:val="FootnoteReference"/>
        </w:rPr>
        <w:footnoteRef/>
      </w:r>
      <w:r>
        <w:t xml:space="preserve"> </w:t>
      </w:r>
      <w:r w:rsidRPr="00B44783">
        <w:rPr>
          <w:i/>
        </w:rPr>
        <w:t>OW &amp; OV v Members of the Board of the Wesley Mission Council</w:t>
      </w:r>
      <w:r w:rsidRPr="00B44783">
        <w:t xml:space="preserve"> [2010] NSWADT 293, following the appeal in </w:t>
      </w:r>
      <w:r w:rsidRPr="00B44783">
        <w:rPr>
          <w:i/>
        </w:rPr>
        <w:t>OV &amp; OW v Members of the Board of the Wesley Council</w:t>
      </w:r>
      <w:r w:rsidRPr="00B44783">
        <w:t xml:space="preserve"> [2010] NSWCA 155.</w:t>
      </w:r>
    </w:p>
  </w:footnote>
  <w:footnote w:id="24">
    <w:p w14:paraId="3C01FC32" w14:textId="5E03E4A0" w:rsidR="00F1139C" w:rsidRDefault="00F1139C">
      <w:pPr>
        <w:pStyle w:val="FootnoteText"/>
      </w:pPr>
      <w:r>
        <w:rPr>
          <w:rStyle w:val="FootnoteReference"/>
        </w:rPr>
        <w:footnoteRef/>
      </w:r>
      <w:r>
        <w:t xml:space="preserve"> Bill, s 22KA.</w:t>
      </w:r>
    </w:p>
  </w:footnote>
  <w:footnote w:id="25">
    <w:p w14:paraId="5A79D0E0" w14:textId="626003F5" w:rsidR="00F1139C" w:rsidRDefault="00F1139C">
      <w:pPr>
        <w:pStyle w:val="FootnoteText"/>
      </w:pPr>
      <w:r>
        <w:rPr>
          <w:rStyle w:val="FootnoteReference"/>
        </w:rPr>
        <w:footnoteRef/>
      </w:r>
      <w:r>
        <w:t xml:space="preserve"> Bill, ss 22</w:t>
      </w:r>
      <w:r>
        <w:t>N(9), 22S(5) and 22V(6).</w:t>
      </w:r>
    </w:p>
  </w:footnote>
  <w:footnote w:id="26">
    <w:p w14:paraId="560016F6" w14:textId="1F411E1D" w:rsidR="00F1139C" w:rsidRDefault="00F1139C">
      <w:pPr>
        <w:pStyle w:val="FootnoteText"/>
      </w:pPr>
      <w:r>
        <w:rPr>
          <w:rStyle w:val="FootnoteReference"/>
        </w:rPr>
        <w:footnoteRef/>
      </w:r>
      <w:r>
        <w:t xml:space="preserve"> ADA, s 22J.</w:t>
      </w:r>
    </w:p>
  </w:footnote>
  <w:footnote w:id="27">
    <w:p w14:paraId="15831917" w14:textId="64A076C9" w:rsidR="00F1139C" w:rsidRDefault="00F1139C">
      <w:pPr>
        <w:pStyle w:val="FootnoteText"/>
      </w:pPr>
      <w:r>
        <w:rPr>
          <w:rStyle w:val="FootnoteReference"/>
        </w:rPr>
        <w:footnoteRef/>
      </w:r>
      <w:r>
        <w:t xml:space="preserve"> </w:t>
      </w:r>
      <w:r w:rsidRPr="009F587D">
        <w:rPr>
          <w:i/>
          <w:iCs/>
        </w:rPr>
        <w:t>Re Jacqueline Nora Hough v Council of the Shire of Caboolture</w:t>
      </w:r>
      <w:r>
        <w:t xml:space="preserve"> [1992] FCA 539.</w:t>
      </w:r>
    </w:p>
  </w:footnote>
  <w:footnote w:id="28">
    <w:p w14:paraId="05A05FBF" w14:textId="161ADC57" w:rsidR="00F1139C" w:rsidRPr="002248D2" w:rsidRDefault="00F1139C">
      <w:pPr>
        <w:pStyle w:val="FootnoteText"/>
      </w:pPr>
      <w:r>
        <w:rPr>
          <w:rStyle w:val="FootnoteReference"/>
        </w:rPr>
        <w:footnoteRef/>
      </w:r>
      <w:r>
        <w:t xml:space="preserve"> </w:t>
      </w:r>
      <w:r w:rsidRPr="00200FBE">
        <w:rPr>
          <w:i/>
          <w:iCs/>
        </w:rPr>
        <w:t>Rohner &amp; Tineo v Scanlan &amp; Minister for Immigration and Multicultural Affairs</w:t>
      </w:r>
      <w:r>
        <w:t xml:space="preserve"> [1997] FCA 1202; affirmed on appeal in </w:t>
      </w:r>
      <w:r>
        <w:rPr>
          <w:i/>
          <w:iCs/>
        </w:rPr>
        <w:t xml:space="preserve">Rohner &amp; Tineo v Scanlan &amp; Minister for Immigration and Multicultural Affairs </w:t>
      </w:r>
      <w:r>
        <w:t>[1998] FCA 1006.</w:t>
      </w:r>
    </w:p>
  </w:footnote>
  <w:footnote w:id="29">
    <w:p w14:paraId="1AA3B13B" w14:textId="3E16DD47" w:rsidR="00F1139C" w:rsidRPr="00E10F3C" w:rsidRDefault="00F1139C">
      <w:pPr>
        <w:pStyle w:val="FootnoteText"/>
      </w:pPr>
      <w:r>
        <w:rPr>
          <w:rStyle w:val="FootnoteReference"/>
        </w:rPr>
        <w:footnoteRef/>
      </w:r>
      <w:r>
        <w:t xml:space="preserve"> </w:t>
      </w:r>
      <w:r w:rsidRPr="3B859BCD">
        <w:rPr>
          <w:i/>
          <w:iCs/>
        </w:rPr>
        <w:t xml:space="preserve">Carreon v Vanstone </w:t>
      </w:r>
      <w:r>
        <w:t xml:space="preserve">[2005] FCA 865; </w:t>
      </w:r>
      <w:r w:rsidRPr="3B859BCD">
        <w:rPr>
          <w:i/>
          <w:iCs/>
        </w:rPr>
        <w:t xml:space="preserve">Webb v Child Support Agency </w:t>
      </w:r>
      <w:r>
        <w:t>[2007] FMCA 1678.</w:t>
      </w:r>
    </w:p>
  </w:footnote>
  <w:footnote w:id="30">
    <w:p w14:paraId="355A9338" w14:textId="1A13B3A2" w:rsidR="00F1139C" w:rsidRDefault="00F1139C">
      <w:pPr>
        <w:pStyle w:val="FootnoteText"/>
      </w:pPr>
      <w:r>
        <w:rPr>
          <w:rStyle w:val="FootnoteReference"/>
        </w:rPr>
        <w:footnoteRef/>
      </w:r>
      <w:r>
        <w:t xml:space="preserve"> </w:t>
      </w:r>
      <w:r w:rsidRPr="007462B9">
        <w:rPr>
          <w:i/>
          <w:iCs/>
        </w:rPr>
        <w:t>Public Health (COVID-19 Restrictions on Gathering and Movement) Order (No 4) 2020</w:t>
      </w:r>
      <w:r>
        <w:t xml:space="preserve"> (NSW), cl 10 and 14</w:t>
      </w:r>
      <w:r>
        <w:t>A(2) versus cl 14A(4).</w:t>
      </w:r>
    </w:p>
  </w:footnote>
  <w:footnote w:id="31">
    <w:p w14:paraId="5A303BB7" w14:textId="090C7B18" w:rsidR="00F1139C" w:rsidRDefault="00F1139C">
      <w:pPr>
        <w:pStyle w:val="FootnoteText"/>
      </w:pPr>
      <w:r>
        <w:rPr>
          <w:rStyle w:val="FootnoteReference"/>
        </w:rPr>
        <w:footnoteRef/>
      </w:r>
      <w:r>
        <w:t xml:space="preserve"> For example, </w:t>
      </w:r>
      <w:r w:rsidRPr="007462B9">
        <w:rPr>
          <w:i/>
          <w:iCs/>
        </w:rPr>
        <w:t>Public Health (COVID-19 Restrictions on Gathering and Movement) Order (No 4) 2020</w:t>
      </w:r>
      <w:r>
        <w:t xml:space="preserve"> (NSW) allows gatherings of up to 100 people for religious services. </w:t>
      </w:r>
    </w:p>
  </w:footnote>
  <w:footnote w:id="32">
    <w:p w14:paraId="6A15F03A" w14:textId="2F1583CA" w:rsidR="00F1139C" w:rsidRDefault="00F1139C">
      <w:pPr>
        <w:pStyle w:val="FootnoteText"/>
      </w:pPr>
      <w:r>
        <w:rPr>
          <w:rStyle w:val="FootnoteReference"/>
        </w:rPr>
        <w:footnoteRef/>
      </w:r>
      <w:r>
        <w:t xml:space="preserve"> </w:t>
      </w:r>
      <w:r w:rsidRPr="003674AA">
        <w:rPr>
          <w:i/>
        </w:rPr>
        <w:t>International Covenant on Economic, Social and Cultural Rights 1966</w:t>
      </w:r>
      <w:r w:rsidRPr="003674AA">
        <w:t>.</w:t>
      </w:r>
    </w:p>
  </w:footnote>
  <w:footnote w:id="33">
    <w:p w14:paraId="070A2596" w14:textId="40B8FCA3" w:rsidR="00F1139C" w:rsidRDefault="00F1139C">
      <w:pPr>
        <w:pStyle w:val="FootnoteText"/>
      </w:pPr>
      <w:r>
        <w:rPr>
          <w:rStyle w:val="FootnoteReference"/>
        </w:rPr>
        <w:footnoteRef/>
      </w:r>
      <w:r>
        <w:t xml:space="preserve"> </w:t>
      </w:r>
      <w:r w:rsidRPr="003674AA">
        <w:rPr>
          <w:i/>
        </w:rPr>
        <w:t>International Convention on the Elimination of All Forms of Racial Discrimination 1965</w:t>
      </w:r>
      <w:r w:rsidRPr="003674AA">
        <w:t>.</w:t>
      </w:r>
    </w:p>
  </w:footnote>
  <w:footnote w:id="34">
    <w:p w14:paraId="7878D9A1" w14:textId="6B41A3AB" w:rsidR="00F1139C" w:rsidRDefault="00F1139C">
      <w:pPr>
        <w:pStyle w:val="FootnoteText"/>
      </w:pPr>
      <w:r>
        <w:rPr>
          <w:rStyle w:val="FootnoteReference"/>
        </w:rPr>
        <w:footnoteRef/>
      </w:r>
      <w:r>
        <w:t xml:space="preserve"> </w:t>
      </w:r>
      <w:r w:rsidRPr="003674AA">
        <w:rPr>
          <w:i/>
        </w:rPr>
        <w:t>Convention on the Elimination of All Forms of Discrimination against Women 1979</w:t>
      </w:r>
      <w:r w:rsidRPr="003674AA">
        <w:t>.</w:t>
      </w:r>
    </w:p>
  </w:footnote>
  <w:footnote w:id="35">
    <w:p w14:paraId="0CA04B87" w14:textId="1D1ADAE4" w:rsidR="00F1139C" w:rsidRDefault="00F1139C">
      <w:pPr>
        <w:pStyle w:val="FootnoteText"/>
      </w:pPr>
      <w:r>
        <w:rPr>
          <w:rStyle w:val="FootnoteReference"/>
        </w:rPr>
        <w:footnoteRef/>
      </w:r>
      <w:r>
        <w:t xml:space="preserve"> </w:t>
      </w:r>
      <w:r w:rsidRPr="003674AA">
        <w:rPr>
          <w:i/>
        </w:rPr>
        <w:t>Convention on the Rights of Persons with Disabilities 2006</w:t>
      </w:r>
      <w:r w:rsidRPr="003674AA">
        <w:t>.</w:t>
      </w:r>
    </w:p>
  </w:footnote>
  <w:footnote w:id="36">
    <w:p w14:paraId="412E419F" w14:textId="12F9CC84" w:rsidR="00F1139C" w:rsidRPr="003674AA" w:rsidRDefault="00F1139C">
      <w:pPr>
        <w:pStyle w:val="FootnoteText"/>
        <w:rPr>
          <w:i/>
        </w:rPr>
      </w:pPr>
      <w:r>
        <w:rPr>
          <w:rStyle w:val="FootnoteReference"/>
        </w:rPr>
        <w:footnoteRef/>
      </w:r>
      <w:r w:rsidRPr="3B859BCD">
        <w:rPr>
          <w:rStyle w:val="FootnoteReference"/>
        </w:rPr>
        <w:t xml:space="preserve"> </w:t>
      </w:r>
      <w:r w:rsidRPr="003674AA">
        <w:rPr>
          <w:i/>
        </w:rPr>
        <w:t>International Covenant on Civil and Political Rights</w:t>
      </w:r>
      <w:r>
        <w:rPr>
          <w:i/>
        </w:rPr>
        <w:t xml:space="preserve"> 1966</w:t>
      </w:r>
      <w:r w:rsidRPr="003674AA">
        <w:t>.</w:t>
      </w:r>
    </w:p>
  </w:footnote>
  <w:footnote w:id="37">
    <w:p w14:paraId="3F99278A" w14:textId="0B55B043" w:rsidR="00F1139C" w:rsidRPr="003B22B2" w:rsidRDefault="00F1139C">
      <w:pPr>
        <w:pStyle w:val="FootnoteText"/>
      </w:pPr>
      <w:r>
        <w:rPr>
          <w:rStyle w:val="FootnoteReference"/>
        </w:rPr>
        <w:footnoteRef/>
      </w:r>
      <w:r w:rsidRPr="3B859BCD">
        <w:rPr>
          <w:rStyle w:val="FootnoteReference"/>
        </w:rPr>
        <w:t xml:space="preserve"> </w:t>
      </w:r>
      <w:r w:rsidRPr="003674AA">
        <w:rPr>
          <w:i/>
        </w:rPr>
        <w:t>UN Declaration on the Elimination of All Forms of Intolerance and of Discrimination Based on Religion or Belief</w:t>
      </w:r>
      <w:r w:rsidRPr="003B22B2">
        <w:t>, proclaimed by the UN General Assembly on 25</w:t>
      </w:r>
      <w:r>
        <w:t> </w:t>
      </w:r>
      <w:r w:rsidRPr="003B22B2">
        <w:t xml:space="preserve">November </w:t>
      </w:r>
      <w:r w:rsidRPr="003B22B2">
        <w:t>1981..</w:t>
      </w:r>
    </w:p>
  </w:footnote>
  <w:footnote w:id="38">
    <w:p w14:paraId="463B4304" w14:textId="50D14357" w:rsidR="00F1139C" w:rsidRDefault="00F1139C">
      <w:pPr>
        <w:pStyle w:val="FootnoteText"/>
      </w:pPr>
      <w:r>
        <w:rPr>
          <w:rStyle w:val="FootnoteReference"/>
        </w:rPr>
        <w:footnoteRef/>
      </w:r>
      <w:r>
        <w:t xml:space="preserve"> </w:t>
      </w:r>
      <w:r w:rsidRPr="003B22B2">
        <w:rPr>
          <w:i/>
        </w:rPr>
        <w:t>Siracusa Principles on the Limitation and Derogation Provisions in the International Covenant on Civil and Political Rights</w:t>
      </w:r>
      <w:r w:rsidRPr="003B22B2">
        <w:t>.</w:t>
      </w:r>
    </w:p>
  </w:footnote>
  <w:footnote w:id="39">
    <w:p w14:paraId="262BD1D6" w14:textId="00E84AF8" w:rsidR="00F1139C" w:rsidRDefault="00F1139C">
      <w:pPr>
        <w:pStyle w:val="FootnoteText"/>
      </w:pPr>
      <w:r>
        <w:rPr>
          <w:rStyle w:val="FootnoteReference"/>
        </w:rPr>
        <w:footnoteRef/>
      </w:r>
      <w:r>
        <w:t xml:space="preserve"> </w:t>
      </w:r>
      <w:r w:rsidRPr="003B22B2">
        <w:t xml:space="preserve">See, for example, </w:t>
      </w:r>
      <w:r w:rsidRPr="003B22B2">
        <w:rPr>
          <w:i/>
        </w:rPr>
        <w:t>Minister for Foreign Affairs and Trade v Magno</w:t>
      </w:r>
      <w:r w:rsidRPr="003B22B2">
        <w:t xml:space="preserve"> [1992] FCA 864 at [12]-[20] per Gummow J; </w:t>
      </w:r>
      <w:r w:rsidRPr="003B22B2">
        <w:rPr>
          <w:i/>
        </w:rPr>
        <w:t>Polites v The Commonwealth</w:t>
      </w:r>
      <w:r w:rsidRPr="003B22B2">
        <w:t xml:space="preserve"> (1945) 70 CLR 60 at 68</w:t>
      </w:r>
      <w:r>
        <w:noBreakHyphen/>
      </w:r>
      <w:r w:rsidRPr="003B22B2">
        <w:t>9, 77, 80-1.</w:t>
      </w:r>
    </w:p>
  </w:footnote>
  <w:footnote w:id="40">
    <w:p w14:paraId="072413D1" w14:textId="77777777" w:rsidR="002A325F" w:rsidRDefault="002A325F" w:rsidP="002A325F">
      <w:pPr>
        <w:pStyle w:val="FootnoteText"/>
      </w:pPr>
      <w:r>
        <w:rPr>
          <w:rStyle w:val="FootnoteReference"/>
        </w:rPr>
        <w:footnoteRef/>
      </w:r>
      <w:r>
        <w:t xml:space="preserve"> For example, see ADA, s 49B(1)(B).</w:t>
      </w:r>
    </w:p>
  </w:footnote>
  <w:footnote w:id="41">
    <w:p w14:paraId="5FF7B7A2" w14:textId="4B92B3D5" w:rsidR="008F3393" w:rsidRDefault="008F3393">
      <w:pPr>
        <w:pStyle w:val="FootnoteText"/>
      </w:pPr>
      <w:r>
        <w:rPr>
          <w:rStyle w:val="FootnoteReference"/>
        </w:rPr>
        <w:footnoteRef/>
      </w:r>
      <w:r>
        <w:t xml:space="preserve"> ADA, s 49C.</w:t>
      </w:r>
    </w:p>
  </w:footnote>
  <w:footnote w:id="42">
    <w:p w14:paraId="6ED0F20D" w14:textId="6620FDAA" w:rsidR="008F3393" w:rsidRDefault="008F3393">
      <w:pPr>
        <w:pStyle w:val="FootnoteText"/>
      </w:pPr>
      <w:r>
        <w:rPr>
          <w:rStyle w:val="FootnoteReference"/>
        </w:rPr>
        <w:footnoteRef/>
      </w:r>
      <w:r>
        <w:t xml:space="preserve"> ADA, s 56(d).</w:t>
      </w:r>
    </w:p>
  </w:footnote>
  <w:footnote w:id="43">
    <w:p w14:paraId="1894B0E5" w14:textId="5666B1A1" w:rsidR="00F1139C" w:rsidRDefault="00F1139C">
      <w:pPr>
        <w:pStyle w:val="FootnoteText"/>
      </w:pPr>
      <w:r>
        <w:rPr>
          <w:rStyle w:val="FootnoteReference"/>
        </w:rPr>
        <w:footnoteRef/>
      </w:r>
      <w:r>
        <w:t xml:space="preserve"> ADA, </w:t>
      </w:r>
      <w:r w:rsidR="002A325F">
        <w:t xml:space="preserve">ss 49B(1)(b), 49C and </w:t>
      </w:r>
      <w:r>
        <w:t>49</w:t>
      </w:r>
      <w:r>
        <w:t>M(2).</w:t>
      </w:r>
    </w:p>
  </w:footnote>
  <w:footnote w:id="44">
    <w:p w14:paraId="1D1B433B" w14:textId="205EC13A" w:rsidR="00101DFB" w:rsidRDefault="00101DFB">
      <w:pPr>
        <w:pStyle w:val="FootnoteText"/>
      </w:pPr>
      <w:r>
        <w:rPr>
          <w:rStyle w:val="FootnoteReference"/>
        </w:rPr>
        <w:footnoteRef/>
      </w:r>
      <w:r>
        <w:t xml:space="preserve"> </w:t>
      </w:r>
      <w:r w:rsidRPr="00101DFB">
        <w:t>Bill, ss 22</w:t>
      </w:r>
      <w:r w:rsidRPr="00101DFB">
        <w:t>K(1) (definition of religious activities) and 22L(2)</w:t>
      </w:r>
    </w:p>
  </w:footnote>
  <w:footnote w:id="45">
    <w:p w14:paraId="54BDAF28" w14:textId="3CB94FB8" w:rsidR="00F1139C" w:rsidRDefault="00F1139C">
      <w:pPr>
        <w:pStyle w:val="FootnoteText"/>
      </w:pPr>
      <w:r>
        <w:rPr>
          <w:rStyle w:val="FootnoteReference"/>
        </w:rPr>
        <w:footnoteRef/>
      </w:r>
      <w:r>
        <w:t xml:space="preserve"> Health Practitioner Regulations National Law (NSW), s 146B.</w:t>
      </w:r>
    </w:p>
  </w:footnote>
  <w:footnote w:id="46">
    <w:p w14:paraId="4EB7F6E0" w14:textId="2C3424B4" w:rsidR="00F1139C" w:rsidRDefault="00F1139C">
      <w:pPr>
        <w:pStyle w:val="FootnoteText"/>
      </w:pPr>
      <w:r>
        <w:rPr>
          <w:rStyle w:val="FootnoteReference"/>
        </w:rPr>
        <w:footnoteRef/>
      </w:r>
      <w:r>
        <w:t xml:space="preserve"> </w:t>
      </w:r>
      <w:r w:rsidR="006F2B66" w:rsidRPr="00AE3108">
        <w:t xml:space="preserve">Medical Board of Australia, </w:t>
      </w:r>
      <w:r w:rsidR="006F2B66" w:rsidRPr="00AE3108">
        <w:rPr>
          <w:i/>
        </w:rPr>
        <w:t>Good Medical Practice: A Code of Conduct for Doctors in Australia</w:t>
      </w:r>
      <w:r w:rsidR="006F2B66" w:rsidRPr="00AE3108">
        <w:t>, cl 3.</w:t>
      </w:r>
      <w:r w:rsidR="006F2B66" w:rsidRPr="00AE3108">
        <w:t>7.3.</w:t>
      </w:r>
      <w:r>
        <w:t>.</w:t>
      </w:r>
    </w:p>
  </w:footnote>
  <w:footnote w:id="47">
    <w:p w14:paraId="567661F5" w14:textId="6770E594" w:rsidR="00F1139C" w:rsidRDefault="00F1139C">
      <w:pPr>
        <w:pStyle w:val="FootnoteText"/>
      </w:pPr>
      <w:r>
        <w:rPr>
          <w:rStyle w:val="FootnoteReference"/>
        </w:rPr>
        <w:footnoteRef/>
      </w:r>
      <w:r>
        <w:t xml:space="preserve"> </w:t>
      </w:r>
      <w:r w:rsidR="00BB52E1">
        <w:t xml:space="preserve">Id, cl </w:t>
      </w:r>
      <w:r>
        <w:t>2.4.6.</w:t>
      </w:r>
    </w:p>
  </w:footnote>
  <w:footnote w:id="48">
    <w:p w14:paraId="15AEAAB9" w14:textId="712456F3" w:rsidR="00F1139C" w:rsidRDefault="00F1139C">
      <w:pPr>
        <w:pStyle w:val="FootnoteText"/>
      </w:pPr>
      <w:r>
        <w:rPr>
          <w:rStyle w:val="FootnoteReference"/>
        </w:rPr>
        <w:footnoteRef/>
      </w:r>
      <w:r>
        <w:t xml:space="preserve"> </w:t>
      </w:r>
      <w:r w:rsidR="00BB52E1">
        <w:t xml:space="preserve">Id, cl </w:t>
      </w:r>
      <w:r>
        <w:t>2.4.7.</w:t>
      </w:r>
    </w:p>
  </w:footnote>
  <w:footnote w:id="49">
    <w:p w14:paraId="3CDFC6D4" w14:textId="2F965EAE" w:rsidR="000E4409" w:rsidRDefault="000E4409">
      <w:pPr>
        <w:pStyle w:val="FootnoteText"/>
      </w:pPr>
      <w:r>
        <w:rPr>
          <w:rStyle w:val="FootnoteReference"/>
        </w:rPr>
        <w:footnoteRef/>
      </w:r>
      <w:r>
        <w:t xml:space="preserve"> </w:t>
      </w:r>
      <w:r w:rsidRPr="00B031D6">
        <w:t xml:space="preserve">Bill, ss 22K(l) (definition of </w:t>
      </w:r>
      <w:r w:rsidRPr="00B031D6">
        <w:rPr>
          <w:b/>
          <w:i/>
        </w:rPr>
        <w:t>religious beliefs</w:t>
      </w:r>
      <w:r w:rsidRPr="00B031D6">
        <w:t>), 22KA (which appears to extend the notion of a religious belief to include the person's beliefs as to the actions, refusals, omissions or expressions that are motivated or required by, conflict with, accord or are consistent with, that belief), 22L(I) and 22L(3)(b)</w:t>
      </w:r>
      <w:r>
        <w:noBreakHyphen/>
      </w:r>
      <w:r w:rsidRPr="00B031D6">
        <w:t>(c) (which appears to extend the protection on a person's religious beliefs also to characteristics that appertain generally, or are generally imputed to, a person with those beliefs).</w:t>
      </w:r>
    </w:p>
  </w:footnote>
  <w:footnote w:id="50">
    <w:p w14:paraId="6C662785" w14:textId="19821C91" w:rsidR="00834694" w:rsidRDefault="00834694">
      <w:pPr>
        <w:pStyle w:val="FootnoteText"/>
      </w:pPr>
      <w:r>
        <w:rPr>
          <w:rStyle w:val="FootnoteReference"/>
        </w:rPr>
        <w:footnoteRef/>
      </w:r>
      <w:r>
        <w:t xml:space="preserve"> </w:t>
      </w:r>
      <w:r w:rsidRPr="00B031D6">
        <w:t>Second exposure draft of the Religious Discrimination Bill 2019 (Cth), s 28.</w:t>
      </w:r>
    </w:p>
  </w:footnote>
  <w:footnote w:id="51">
    <w:p w14:paraId="62A2AF5D" w14:textId="40DCAC87" w:rsidR="00F1139C" w:rsidRDefault="00F1139C">
      <w:pPr>
        <w:pStyle w:val="FootnoteText"/>
      </w:pPr>
      <w:r>
        <w:rPr>
          <w:rStyle w:val="FootnoteReference"/>
        </w:rPr>
        <w:footnoteRef/>
      </w:r>
      <w:r w:rsidRPr="00F511B8">
        <w:t xml:space="preserve"> </w:t>
      </w:r>
      <w:r w:rsidRPr="00AE3108">
        <w:t xml:space="preserve">Submission by ADLEG, p. 15, see: </w:t>
      </w:r>
      <w:hyperlink r:id="rId3" w:history="1">
        <w:r w:rsidRPr="00AE3108">
          <w:t>https://www.ag.gov.au/sites/default/files/2020-05/Australian%20Discrimination%20Law%20Experts%20Group.pdf</w:t>
        </w:r>
      </w:hyperlink>
      <w:r w:rsidRPr="3B859BCD">
        <w:rPr>
          <w:rStyle w:val="Hyperlink"/>
        </w:rPr>
        <w:t xml:space="preserve"> </w:t>
      </w:r>
      <w:r>
        <w:t xml:space="preserve"> </w:t>
      </w:r>
    </w:p>
  </w:footnote>
  <w:footnote w:id="52">
    <w:p w14:paraId="071992A0" w14:textId="4FC17E62" w:rsidR="00F1139C" w:rsidRDefault="00F1139C">
      <w:pPr>
        <w:pStyle w:val="FootnoteText"/>
      </w:pPr>
      <w:r>
        <w:rPr>
          <w:rStyle w:val="FootnoteReference"/>
        </w:rPr>
        <w:footnoteRef/>
      </w:r>
      <w:r w:rsidRPr="00B031D6">
        <w:t xml:space="preserve"> </w:t>
      </w:r>
      <w:r w:rsidRPr="00AE3108">
        <w:rPr>
          <w:i/>
        </w:rPr>
        <w:t>Crimes Act 1900 (NSW) s 93Z.</w:t>
      </w:r>
      <w:r>
        <w:t xml:space="preserve"> </w:t>
      </w:r>
    </w:p>
  </w:footnote>
  <w:footnote w:id="53">
    <w:p w14:paraId="6AB60CF2" w14:textId="7D856CDA" w:rsidR="00F1139C" w:rsidRDefault="00F1139C">
      <w:pPr>
        <w:pStyle w:val="FootnoteText"/>
      </w:pPr>
      <w:r>
        <w:rPr>
          <w:rStyle w:val="FootnoteReference"/>
        </w:rPr>
        <w:footnoteRef/>
      </w:r>
      <w:r>
        <w:t xml:space="preserve"> </w:t>
      </w:r>
      <w:r w:rsidR="00683402">
        <w:t>ADA, s 20C.</w:t>
      </w:r>
    </w:p>
  </w:footnote>
  <w:footnote w:id="54">
    <w:p w14:paraId="022A82FE" w14:textId="60AA770F" w:rsidR="00F1139C" w:rsidRDefault="00F1139C">
      <w:pPr>
        <w:pStyle w:val="FootnoteText"/>
      </w:pPr>
      <w:r>
        <w:rPr>
          <w:rStyle w:val="FootnoteReference"/>
        </w:rPr>
        <w:footnoteRef/>
      </w:r>
      <w:r>
        <w:t xml:space="preserve"> </w:t>
      </w:r>
      <w:r w:rsidR="00683402">
        <w:t>ADA, s, 87</w:t>
      </w:r>
      <w:r w:rsidR="00683402">
        <w:t>A(1).</w:t>
      </w:r>
    </w:p>
  </w:footnote>
  <w:footnote w:id="55">
    <w:p w14:paraId="2C937F58" w14:textId="174ED344" w:rsidR="00F1139C" w:rsidRDefault="00F1139C">
      <w:pPr>
        <w:pStyle w:val="FootnoteText"/>
      </w:pPr>
      <w:r>
        <w:rPr>
          <w:rStyle w:val="FootnoteReference"/>
        </w:rPr>
        <w:footnoteRef/>
      </w:r>
      <w:r>
        <w:t xml:space="preserve"> </w:t>
      </w:r>
      <w:r w:rsidR="00683402" w:rsidRPr="00432604">
        <w:t xml:space="preserve">See </w:t>
      </w:r>
      <w:r w:rsidR="00683402" w:rsidRPr="00432604">
        <w:rPr>
          <w:i/>
        </w:rPr>
        <w:t>Khan v Commissioner of Corrective Services</w:t>
      </w:r>
      <w:r w:rsidR="00683402" w:rsidRPr="00432604">
        <w:t xml:space="preserve"> [2002] NSWADT 131; </w:t>
      </w:r>
      <w:r w:rsidR="00683402" w:rsidRPr="00432604">
        <w:rPr>
          <w:u w:val="single"/>
        </w:rPr>
        <w:t>Abdulrahman v Toll Pty Ltd</w:t>
      </w:r>
      <w:r w:rsidR="00683402" w:rsidRPr="00432604">
        <w:t xml:space="preserve"> [2006] NSWADT 221; </w:t>
      </w:r>
      <w:r w:rsidR="00683402" w:rsidRPr="00432604">
        <w:rPr>
          <w:i/>
        </w:rPr>
        <w:t>Jones and Harbour Radio Pty Ltd v Trad</w:t>
      </w:r>
      <w:r w:rsidR="00683402">
        <w:t xml:space="preserve"> </w:t>
      </w:r>
      <w:r w:rsidR="00683402" w:rsidRPr="00432604">
        <w:t>[2011] NSWADTAP 19.</w:t>
      </w:r>
    </w:p>
  </w:footnote>
  <w:footnote w:id="56">
    <w:p w14:paraId="53D6A7F7" w14:textId="4431939C" w:rsidR="00F1139C" w:rsidRDefault="00F1139C">
      <w:pPr>
        <w:pStyle w:val="FootnoteText"/>
      </w:pPr>
      <w:r>
        <w:rPr>
          <w:rStyle w:val="FootnoteReference"/>
        </w:rPr>
        <w:footnoteRef/>
      </w:r>
      <w:r>
        <w:t xml:space="preserve"> </w:t>
      </w:r>
      <w:r w:rsidR="00D51BB1" w:rsidRPr="00B350C6">
        <w:t>Explanatory Note to the Anti</w:t>
      </w:r>
      <w:r w:rsidR="00D51BB1">
        <w:noBreakHyphen/>
      </w:r>
      <w:r w:rsidR="00D51BB1" w:rsidRPr="00B350C6">
        <w:t xml:space="preserve">Discrimination Amendment (Religious Freedoms and Equality) Bill 2020, p.6; Case of </w:t>
      </w:r>
      <w:r w:rsidR="00D51BB1" w:rsidRPr="00B350C6">
        <w:rPr>
          <w:i/>
        </w:rPr>
        <w:t>S.A.S. v France</w:t>
      </w:r>
      <w:r w:rsidR="00D51BB1" w:rsidRPr="00B350C6">
        <w:t xml:space="preserve"> (2014) Application no</w:t>
      </w:r>
      <w:r w:rsidR="00D51BB1">
        <w:t> </w:t>
      </w:r>
      <w:r w:rsidR="00D51BB1" w:rsidRPr="00B350C6">
        <w:t>43835/11, European Court of Human Rights (particularly at [122]).</w:t>
      </w:r>
    </w:p>
  </w:footnote>
  <w:footnote w:id="57">
    <w:p w14:paraId="7346264F" w14:textId="2119F35E" w:rsidR="00F1139C" w:rsidRDefault="00F1139C">
      <w:pPr>
        <w:pStyle w:val="FootnoteText"/>
      </w:pPr>
      <w:r>
        <w:rPr>
          <w:rStyle w:val="FootnoteReference"/>
        </w:rPr>
        <w:footnoteRef/>
      </w:r>
      <w:r w:rsidRPr="006D62AA">
        <w:t xml:space="preserve"> </w:t>
      </w:r>
      <w:r w:rsidR="00D51BB1" w:rsidRPr="00B350C6">
        <w:t>Explanatory Note to the Anti</w:t>
      </w:r>
      <w:r w:rsidR="00D51BB1">
        <w:noBreakHyphen/>
      </w:r>
      <w:r w:rsidR="00D51BB1" w:rsidRPr="00B350C6">
        <w:t>Discrimination Amendment (Religious Freedoms and Equality) Bill 2020, p.</w:t>
      </w:r>
      <w:r w:rsidR="00D51BB1" w:rsidRPr="00B350C6">
        <w:t>6.</w:t>
      </w:r>
      <w:r>
        <w:t>.</w:t>
      </w:r>
    </w:p>
  </w:footnote>
  <w:footnote w:id="58">
    <w:p w14:paraId="0E4E52EA" w14:textId="5EA148F0" w:rsidR="00F1139C" w:rsidRDefault="00F1139C">
      <w:pPr>
        <w:pStyle w:val="FootnoteText"/>
      </w:pPr>
      <w:r>
        <w:rPr>
          <w:rStyle w:val="FootnoteReference"/>
        </w:rPr>
        <w:footnoteRef/>
      </w:r>
      <w:r>
        <w:t xml:space="preserve"> </w:t>
      </w:r>
      <w:r w:rsidR="00815FC7" w:rsidRPr="00B92785">
        <w:rPr>
          <w:i/>
        </w:rPr>
        <w:t>Anthony Hordern and Sons Ltd v The Amalgamated Clothing and Allied Trades Union of Australia</w:t>
      </w:r>
      <w:r w:rsidR="00815FC7" w:rsidRPr="00B92785">
        <w:t xml:space="preserve"> (1932) 47 CLR 1 at 7 per Duffy CJ and Dixon J.</w:t>
      </w:r>
    </w:p>
  </w:footnote>
  <w:footnote w:id="59">
    <w:p w14:paraId="2C033ED9" w14:textId="55ED91AF" w:rsidR="00F1139C" w:rsidRDefault="00F1139C">
      <w:pPr>
        <w:pStyle w:val="FootnoteText"/>
      </w:pPr>
      <w:r>
        <w:rPr>
          <w:rStyle w:val="FootnoteReference"/>
        </w:rPr>
        <w:footnoteRef/>
      </w:r>
      <w:r>
        <w:t xml:space="preserve"> </w:t>
      </w:r>
      <w:r w:rsidRPr="00815FC7">
        <w:rPr>
          <w:iCs/>
        </w:rPr>
        <w:t>A</w:t>
      </w:r>
      <w:r w:rsidRPr="00815FC7">
        <w:t>DA,</w:t>
      </w:r>
      <w:r w:rsidRPr="3B859BCD">
        <w:t xml:space="preserve"> s 126(1).</w:t>
      </w:r>
    </w:p>
  </w:footnote>
  <w:footnote w:id="60">
    <w:p w14:paraId="0769B822" w14:textId="4CC6B4A5" w:rsidR="00F1139C" w:rsidRDefault="00F1139C">
      <w:pPr>
        <w:pStyle w:val="FootnoteText"/>
      </w:pPr>
      <w:r>
        <w:rPr>
          <w:rStyle w:val="FootnoteReference"/>
        </w:rPr>
        <w:footnoteRef/>
      </w:r>
      <w:r>
        <w:t xml:space="preserve"> </w:t>
      </w:r>
      <w:r w:rsidR="00815FC7" w:rsidRPr="004E1073">
        <w:t xml:space="preserve">For a list of current exemptions, see: </w:t>
      </w:r>
      <w:hyperlink r:id="rId4" w:history="1">
        <w:r w:rsidR="00815FC7" w:rsidRPr="00B17CA7">
          <w:rPr>
            <w:rStyle w:val="Hyperlink"/>
          </w:rPr>
          <w:t>https://www.antidiscrimination.justice.nsw.gov.au/Pages/adb1_antidiscriminationlaw/adb1_exemptions/exemptions.126.aspx</w:t>
        </w:r>
      </w:hyperlink>
      <w:r w:rsidR="00815FC7" w:rsidRPr="004E1073">
        <w:t>.</w:t>
      </w:r>
    </w:p>
  </w:footnote>
  <w:footnote w:id="61">
    <w:p w14:paraId="1620AF24" w14:textId="08FBF6A5" w:rsidR="00B041BD" w:rsidRDefault="00B041BD">
      <w:pPr>
        <w:pStyle w:val="FootnoteText"/>
      </w:pPr>
      <w:r>
        <w:rPr>
          <w:rStyle w:val="FootnoteReference"/>
        </w:rPr>
        <w:footnoteRef/>
      </w:r>
      <w:r>
        <w:t xml:space="preserve"> Bill, s 22KB(1)(d).</w:t>
      </w:r>
    </w:p>
  </w:footnote>
  <w:footnote w:id="62">
    <w:p w14:paraId="542C1DF6" w14:textId="6D6D7F82" w:rsidR="00B041BD" w:rsidRDefault="00B041BD">
      <w:pPr>
        <w:pStyle w:val="FootnoteText"/>
      </w:pPr>
      <w:r>
        <w:rPr>
          <w:rStyle w:val="FootnoteReference"/>
        </w:rPr>
        <w:footnoteRef/>
      </w:r>
      <w:r>
        <w:t xml:space="preserve"> Bill, s 22</w:t>
      </w:r>
      <w:r>
        <w:t>M(3).</w:t>
      </w:r>
    </w:p>
  </w:footnote>
  <w:footnote w:id="63">
    <w:p w14:paraId="74667276" w14:textId="268FE5ED" w:rsidR="005B3C56" w:rsidRDefault="005B3C56">
      <w:pPr>
        <w:pStyle w:val="FootnoteText"/>
      </w:pPr>
      <w:r>
        <w:rPr>
          <w:rStyle w:val="FootnoteReference"/>
        </w:rPr>
        <w:footnoteRef/>
      </w:r>
      <w:r>
        <w:t xml:space="preserve"> </w:t>
      </w:r>
      <w:r w:rsidR="002C054C">
        <w:t xml:space="preserve">ADA, s 4(1) (definition of </w:t>
      </w:r>
      <w:r w:rsidR="002C054C">
        <w:rPr>
          <w:b/>
          <w:i/>
        </w:rPr>
        <w:t>homosexual</w:t>
      </w:r>
      <w:r w:rsidR="002C054C">
        <w:t>).</w:t>
      </w:r>
    </w:p>
  </w:footnote>
  <w:footnote w:id="64">
    <w:p w14:paraId="3CDB7A01" w14:textId="7B9A309E" w:rsidR="00F1139C" w:rsidRDefault="00F1139C">
      <w:pPr>
        <w:pStyle w:val="FootnoteText"/>
      </w:pPr>
      <w:r>
        <w:rPr>
          <w:rStyle w:val="FootnoteReference"/>
        </w:rPr>
        <w:footnoteRef/>
      </w:r>
      <w:r>
        <w:t xml:space="preserve"> </w:t>
      </w:r>
      <w:r w:rsidRPr="002C054C">
        <w:t>ADA,</w:t>
      </w:r>
      <w:r w:rsidRPr="3B859BCD">
        <w:rPr>
          <w:i/>
          <w:iCs/>
        </w:rPr>
        <w:t xml:space="preserve"> </w:t>
      </w:r>
      <w:r w:rsidRPr="3B859BCD">
        <w:t>s 22.</w:t>
      </w:r>
    </w:p>
  </w:footnote>
  <w:footnote w:id="65">
    <w:p w14:paraId="7EBA083C" w14:textId="60C7554B" w:rsidR="002C054C" w:rsidRDefault="002C054C">
      <w:pPr>
        <w:pStyle w:val="FootnoteText"/>
      </w:pPr>
      <w:r>
        <w:rPr>
          <w:rStyle w:val="FootnoteReference"/>
        </w:rPr>
        <w:footnoteRef/>
      </w:r>
      <w:r>
        <w:t xml:space="preserve"> </w:t>
      </w:r>
      <w:r w:rsidRPr="00A33A3E">
        <w:t>ADA, ss 25(3)(c), 31A(3)(a), 38C(3)(c), 38K(3), 40(3)(c), 46A(3), 49D(3), 49L(3)(a), 49ZH(3)(c), 4970(3) and 49ZYL(3)(b).</w:t>
      </w:r>
    </w:p>
  </w:footnote>
  <w:footnote w:id="66">
    <w:p w14:paraId="3E417F0B" w14:textId="65480493" w:rsidR="00F1139C" w:rsidRDefault="00F1139C">
      <w:pPr>
        <w:pStyle w:val="FootnoteText"/>
      </w:pPr>
      <w:r>
        <w:rPr>
          <w:rStyle w:val="FootnoteReference"/>
        </w:rPr>
        <w:footnoteRef/>
      </w:r>
      <w:r>
        <w:t xml:space="preserve"> </w:t>
      </w:r>
      <w:r w:rsidR="002C054C">
        <w:t>ADA, s 59</w:t>
      </w:r>
      <w:r>
        <w:t>.</w:t>
      </w:r>
    </w:p>
  </w:footnote>
  <w:footnote w:id="67">
    <w:p w14:paraId="726C15F1" w14:textId="27FDC7C5" w:rsidR="00F1139C" w:rsidRDefault="00F1139C">
      <w:pPr>
        <w:pStyle w:val="FootnoteText"/>
      </w:pPr>
      <w:r>
        <w:rPr>
          <w:rStyle w:val="FootnoteReference"/>
        </w:rPr>
        <w:footnoteRef/>
      </w:r>
      <w:r>
        <w:t xml:space="preserve"> </w:t>
      </w:r>
      <w:r w:rsidR="00DE5EBA" w:rsidRPr="00A36FAD">
        <w:t xml:space="preserve">See Equality Australia (2019), Submission on the Second Exposure Draft of the Religious Discrimination Bill 2019, available at: </w:t>
      </w:r>
      <w:hyperlink r:id="rId5" w:history="1">
        <w:r w:rsidR="00DE5EBA" w:rsidRPr="00B17CA7">
          <w:rPr>
            <w:rStyle w:val="Hyperlink"/>
          </w:rPr>
          <w:t>https://equalityaustralia.org.au/easubmission2/</w:t>
        </w:r>
      </w:hyperlink>
      <w:r w:rsidR="00DE5EBA" w:rsidRPr="00A36FAD">
        <w:t>.</w:t>
      </w:r>
    </w:p>
  </w:footnote>
  <w:footnote w:id="68">
    <w:p w14:paraId="3C1B9D7A" w14:textId="2C734C13" w:rsidR="00F1139C" w:rsidRPr="00677194" w:rsidRDefault="00F1139C" w:rsidP="0039287A">
      <w:pPr>
        <w:pStyle w:val="FootnoteText"/>
        <w:rPr>
          <w:lang w:val="en-GB"/>
        </w:rPr>
      </w:pPr>
      <w:r>
        <w:rPr>
          <w:rStyle w:val="FootnoteReference"/>
        </w:rPr>
        <w:footnoteRef/>
      </w:r>
      <w:r>
        <w:t xml:space="preserve"> </w:t>
      </w:r>
      <w:hyperlink r:id="rId6" w:history="1">
        <w:r w:rsidRPr="00B92785">
          <w:t>‘We were furious’: Uber driver rejects couple because of their Christmas Ham’</w:t>
        </w:r>
      </w:hyperlink>
      <w:r w:rsidRPr="00B92785">
        <w:t xml:space="preserve">, </w:t>
      </w:r>
      <w:r w:rsidRPr="005B5638">
        <w:rPr>
          <w:i/>
        </w:rPr>
        <w:t>3AW 693 News Talk</w:t>
      </w:r>
      <w:r w:rsidRPr="00B92785">
        <w:t>, 19 December 2019.</w:t>
      </w:r>
    </w:p>
  </w:footnote>
  <w:footnote w:id="69">
    <w:p w14:paraId="0A751608" w14:textId="21D0C262" w:rsidR="00F1139C" w:rsidRPr="00677194" w:rsidRDefault="00F1139C" w:rsidP="0039287A">
      <w:pPr>
        <w:pStyle w:val="FootnoteText"/>
        <w:rPr>
          <w:b/>
          <w:lang w:val="en-GB"/>
        </w:rPr>
      </w:pPr>
      <w:r>
        <w:rPr>
          <w:rStyle w:val="FootnoteReference"/>
        </w:rPr>
        <w:footnoteRef/>
      </w:r>
      <w:r>
        <w:t xml:space="preserve"> </w:t>
      </w:r>
      <w:r w:rsidR="00FE5DA8">
        <w:t>Bill, s 22W, together with s 22</w:t>
      </w:r>
      <w:r w:rsidR="00FE5DA8">
        <w:t>L(2).</w:t>
      </w:r>
    </w:p>
  </w:footnote>
  <w:footnote w:id="70">
    <w:p w14:paraId="48DAFA09" w14:textId="06A137D5" w:rsidR="00F1139C" w:rsidRPr="009E3E58" w:rsidRDefault="00F1139C" w:rsidP="0039287A">
      <w:pPr>
        <w:pStyle w:val="FootnoteText"/>
        <w:rPr>
          <w:lang w:val="en-GB"/>
        </w:rPr>
      </w:pPr>
      <w:r>
        <w:rPr>
          <w:rStyle w:val="FootnoteReference"/>
        </w:rPr>
        <w:footnoteRef/>
      </w:r>
      <w:r>
        <w:t xml:space="preserve"> </w:t>
      </w:r>
      <w:r w:rsidR="001C4740">
        <w:t>Bill, ss 22N(1)(c), 22P(a) or 22W(b).</w:t>
      </w:r>
    </w:p>
  </w:footnote>
  <w:footnote w:id="71">
    <w:p w14:paraId="31A099CC" w14:textId="4356DDC7" w:rsidR="00F1139C" w:rsidRDefault="00F1139C">
      <w:pPr>
        <w:pStyle w:val="FootnoteText"/>
      </w:pPr>
      <w:r>
        <w:rPr>
          <w:rStyle w:val="FootnoteReference"/>
        </w:rPr>
        <w:footnoteRef/>
      </w:r>
      <w:r>
        <w:t xml:space="preserve"> </w:t>
      </w:r>
      <w:r w:rsidR="001C4740">
        <w:t>Bill, ss 22</w:t>
      </w:r>
      <w:r w:rsidR="001C4740">
        <w:t>N(3)-(5), 22S(2)-(4) and 22V(3-(5).</w:t>
      </w:r>
    </w:p>
  </w:footnote>
  <w:footnote w:id="72">
    <w:p w14:paraId="1367A6F3" w14:textId="162D2176" w:rsidR="00F1139C" w:rsidRPr="00A33A3E" w:rsidRDefault="00F1139C">
      <w:pPr>
        <w:pStyle w:val="FootnoteText"/>
      </w:pPr>
      <w:r>
        <w:rPr>
          <w:rStyle w:val="FootnoteReference"/>
        </w:rPr>
        <w:footnoteRef/>
      </w:r>
      <w:r>
        <w:t xml:space="preserve"> </w:t>
      </w:r>
      <w:r w:rsidR="00417E83">
        <w:t xml:space="preserve">Bill, </w:t>
      </w:r>
      <w:r w:rsidR="00F511B8" w:rsidRPr="00F511B8">
        <w:t xml:space="preserve">ss 22L(1)(b) and (2)(b), together with </w:t>
      </w:r>
      <w:r w:rsidR="00F511B8" w:rsidRPr="00F511B8">
        <w:t>Div 2 and 3.</w:t>
      </w:r>
    </w:p>
  </w:footnote>
  <w:footnote w:id="73">
    <w:p w14:paraId="18AF2F57" w14:textId="4A2FF4C3" w:rsidR="00F1139C" w:rsidRPr="00471166" w:rsidRDefault="00F1139C" w:rsidP="0039287A">
      <w:pPr>
        <w:pStyle w:val="FootnoteText"/>
      </w:pPr>
      <w:r>
        <w:rPr>
          <w:rStyle w:val="FootnoteReference"/>
        </w:rPr>
        <w:footnoteRef/>
      </w:r>
      <w:r>
        <w:t xml:space="preserve"> Human Rights and Equality Opportunity Commission (</w:t>
      </w:r>
      <w:r w:rsidRPr="00471166">
        <w:rPr>
          <w:b/>
        </w:rPr>
        <w:t>HREOC</w:t>
      </w:r>
      <w:r>
        <w:t xml:space="preserve">) (2004) </w:t>
      </w:r>
      <w:hyperlink r:id="rId7" w:history="1">
        <w:r w:rsidRPr="00471166">
          <w:rPr>
            <w:rStyle w:val="Hyperlink"/>
            <w:i/>
          </w:rPr>
          <w:t>Isma</w:t>
        </w:r>
        <w:r w:rsidRPr="00471166">
          <w:rPr>
            <w:rStyle w:val="Hyperlink"/>
            <w:rFonts w:ascii="Arial" w:hAnsi="Arial" w:cs="Arial"/>
            <w:rtl/>
          </w:rPr>
          <w:t>ﻉ</w:t>
        </w:r>
        <w:r w:rsidRPr="00471166">
          <w:rPr>
            <w:rStyle w:val="Hyperlink"/>
            <w:i/>
          </w:rPr>
          <w:t xml:space="preserve"> – Listen: National consultations on eliminating prejudice against Arab and Muslim Australians</w:t>
        </w:r>
      </w:hyperlink>
      <w:r>
        <w:rPr>
          <w:i/>
        </w:rPr>
        <w:t>,</w:t>
      </w:r>
      <w:r>
        <w:t xml:space="preserve"> Sydney: HREOC; Derya Iner (2019) </w:t>
      </w:r>
      <w:hyperlink r:id="rId8" w:history="1">
        <w:r w:rsidRPr="00471166">
          <w:rPr>
            <w:rStyle w:val="Hyperlink"/>
            <w:i/>
          </w:rPr>
          <w:t>Islamophobia in Australia Report II (2017-2018)</w:t>
        </w:r>
      </w:hyperlink>
      <w:r>
        <w:rPr>
          <w:i/>
        </w:rPr>
        <w:t xml:space="preserve">, </w:t>
      </w:r>
      <w:r>
        <w:t>Sydney: Charles Sturt University and ISRA.</w:t>
      </w:r>
    </w:p>
  </w:footnote>
  <w:footnote w:id="74">
    <w:p w14:paraId="13B7CEF6" w14:textId="525B78D8" w:rsidR="00F1139C" w:rsidRDefault="00F1139C" w:rsidP="0039287A">
      <w:pPr>
        <w:pStyle w:val="FootnoteText"/>
      </w:pPr>
      <w:r>
        <w:rPr>
          <w:rStyle w:val="FootnoteReference"/>
        </w:rPr>
        <w:footnoteRef/>
      </w:r>
      <w:r>
        <w:t xml:space="preserve"> Julie Nathan (2019) </w:t>
      </w:r>
      <w:hyperlink r:id="rId9" w:history="1">
        <w:r w:rsidRPr="00471166">
          <w:rPr>
            <w:rStyle w:val="Hyperlink"/>
            <w:i/>
          </w:rPr>
          <w:t>Report on Antisemitism in Australia 2019</w:t>
        </w:r>
      </w:hyperlink>
      <w:r>
        <w:rPr>
          <w:i/>
        </w:rPr>
        <w:t xml:space="preserve">, </w:t>
      </w:r>
      <w:r>
        <w:t>Sydney: Executive Council of Australian Jewry.</w:t>
      </w:r>
    </w:p>
  </w:footnote>
  <w:footnote w:id="75">
    <w:p w14:paraId="27832F5B" w14:textId="1022D6C3" w:rsidR="00F1139C" w:rsidRPr="002761E9" w:rsidRDefault="00F1139C" w:rsidP="009A3AE0">
      <w:pPr>
        <w:pStyle w:val="FootnoteText"/>
        <w:rPr>
          <w:lang w:val="en-GB"/>
        </w:rPr>
      </w:pPr>
      <w:r>
        <w:rPr>
          <w:rStyle w:val="FootnoteReference"/>
        </w:rPr>
        <w:footnoteRef/>
      </w:r>
      <w:r>
        <w:t xml:space="preserve"> Penny Knight and David Gilchrist (2015) </w:t>
      </w:r>
      <w:hyperlink r:id="rId10" w:history="1">
        <w:r w:rsidRPr="002761E9">
          <w:rPr>
            <w:rStyle w:val="Hyperlink"/>
            <w:i/>
          </w:rPr>
          <w:t>Faith-Based Charities in Australia</w:t>
        </w:r>
      </w:hyperlink>
      <w:r>
        <w:rPr>
          <w:i/>
        </w:rPr>
        <w:t xml:space="preserve">, </w:t>
      </w:r>
      <w:r>
        <w:t xml:space="preserve">March 2015, Australian Charities and Not-for-profits Commission, at 7, 12 and 17. </w:t>
      </w:r>
    </w:p>
  </w:footnote>
  <w:footnote w:id="76">
    <w:p w14:paraId="6EBC79F1" w14:textId="5A2942AE" w:rsidR="00F1139C" w:rsidRPr="002761E9" w:rsidRDefault="00F1139C" w:rsidP="009A3AE0">
      <w:pPr>
        <w:pStyle w:val="FootnoteText"/>
        <w:rPr>
          <w:lang w:val="en-GB"/>
        </w:rPr>
      </w:pPr>
      <w:r>
        <w:rPr>
          <w:rStyle w:val="FootnoteReference"/>
        </w:rPr>
        <w:footnoteRef/>
      </w:r>
      <w:r>
        <w:t xml:space="preserve"> Ibid, at 17.</w:t>
      </w:r>
    </w:p>
  </w:footnote>
  <w:footnote w:id="77">
    <w:p w14:paraId="4F9F021E" w14:textId="71E79342" w:rsidR="00F1139C" w:rsidRPr="002761E9" w:rsidRDefault="00F1139C" w:rsidP="009A3AE0">
      <w:pPr>
        <w:pStyle w:val="FootnoteText"/>
        <w:rPr>
          <w:lang w:val="en-GB"/>
        </w:rPr>
      </w:pPr>
      <w:r>
        <w:rPr>
          <w:rStyle w:val="FootnoteReference"/>
        </w:rPr>
        <w:footnoteRef/>
      </w:r>
      <w:r>
        <w:t xml:space="preserve"> </w:t>
      </w:r>
      <w:r w:rsidR="00F747DF">
        <w:t>Faith-based organisations are likely to have the protection of both ADA, s 56, and Bill, s 22M.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091D" w14:textId="77777777" w:rsidR="00F93FCD" w:rsidRDefault="00F93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2AF9" w14:textId="657F04C3" w:rsidR="00F1139C" w:rsidRDefault="00F1139C">
    <w:pPr>
      <w:pStyle w:val="Header"/>
    </w:pPr>
    <w:r>
      <w:rPr>
        <w:noProof/>
        <w:color w:val="2B579A"/>
        <w:shd w:val="clear" w:color="auto" w:fill="E6E6E6"/>
      </w:rPr>
      <w:drawing>
        <wp:anchor distT="0" distB="0" distL="114300" distR="114300" simplePos="0" relativeHeight="251658240" behindDoc="1" locked="0" layoutInCell="1" allowOverlap="1" wp14:anchorId="7AA3C1E3" wp14:editId="5020FF43">
          <wp:simplePos x="0" y="0"/>
          <wp:positionH relativeFrom="page">
            <wp:posOffset>-1000125</wp:posOffset>
          </wp:positionH>
          <wp:positionV relativeFrom="page">
            <wp:posOffset>-1255033</wp:posOffset>
          </wp:positionV>
          <wp:extent cx="8559210" cy="12710284"/>
          <wp:effectExtent l="0" t="0" r="0" b="0"/>
          <wp:wrapNone/>
          <wp:docPr id="6" name="Backgrou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 picture"/>
                  <pic:cNvPicPr/>
                </pic:nvPicPr>
                <pic:blipFill>
                  <a:blip r:embed="rId1">
                    <a:extLst>
                      <a:ext uri="{28A0092B-C50C-407E-A947-70E740481C1C}">
                        <a14:useLocalDpi xmlns:a14="http://schemas.microsoft.com/office/drawing/2010/main" val="0"/>
                      </a:ext>
                    </a:extLst>
                  </a:blip>
                  <a:stretch>
                    <a:fillRect/>
                  </a:stretch>
                </pic:blipFill>
                <pic:spPr>
                  <a:xfrm>
                    <a:off x="0" y="0"/>
                    <a:ext cx="8559210" cy="12710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D6DF" w14:textId="77777777" w:rsidR="00F93FCD" w:rsidRDefault="00F93F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FE6C" w14:textId="70CEC2DD" w:rsidR="00F1139C" w:rsidRDefault="00F1139C"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1AF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441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8A0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325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4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2F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DA41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6C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2E4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05701"/>
    <w:multiLevelType w:val="hybridMultilevel"/>
    <w:tmpl w:val="128AA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02594E"/>
    <w:multiLevelType w:val="hybridMultilevel"/>
    <w:tmpl w:val="ED9E8A36"/>
    <w:lvl w:ilvl="0" w:tplc="A664E47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2170AA"/>
    <w:multiLevelType w:val="hybridMultilevel"/>
    <w:tmpl w:val="D3227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4A3592"/>
    <w:multiLevelType w:val="hybridMultilevel"/>
    <w:tmpl w:val="ADDA0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F4A53"/>
    <w:multiLevelType w:val="hybridMultilevel"/>
    <w:tmpl w:val="43DA9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D14E53"/>
    <w:multiLevelType w:val="hybridMultilevel"/>
    <w:tmpl w:val="3140A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C715AA"/>
    <w:multiLevelType w:val="hybridMultilevel"/>
    <w:tmpl w:val="B0F8A16C"/>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7"/>
  </w:num>
  <w:num w:numId="14">
    <w:abstractNumId w:val="18"/>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0"/>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defaultTableStyle w:val="EQAUTable"/>
  <w:drawingGridHorizontalSpacing w:val="110"/>
  <w:displayHorizontalDrawingGridEvery w:val="2"/>
  <w:displayVerticalDrawingGridEvery w:val="2"/>
  <w:characterSpacingControl w:val="doNotCompress"/>
  <w:hdrShapeDefaults>
    <o:shapedefaults v:ext="edit" spidmax="2049">
      <o:colormru v:ext="edit" colors="#ffeac9,#fff1dd,#ebf7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wmDescription" w:val="Submission to NSW Inquiry"/>
  </w:docVars>
  <w:rsids>
    <w:rsidRoot w:val="005375D5"/>
    <w:rsid w:val="00000FCB"/>
    <w:rsid w:val="000033B3"/>
    <w:rsid w:val="000041FA"/>
    <w:rsid w:val="000047EE"/>
    <w:rsid w:val="00005180"/>
    <w:rsid w:val="000112B0"/>
    <w:rsid w:val="00011644"/>
    <w:rsid w:val="00011F18"/>
    <w:rsid w:val="00015960"/>
    <w:rsid w:val="00016FAF"/>
    <w:rsid w:val="00017FF9"/>
    <w:rsid w:val="00021363"/>
    <w:rsid w:val="000234C9"/>
    <w:rsid w:val="00024664"/>
    <w:rsid w:val="00025309"/>
    <w:rsid w:val="0002570B"/>
    <w:rsid w:val="000262A5"/>
    <w:rsid w:val="000275CD"/>
    <w:rsid w:val="00030CF4"/>
    <w:rsid w:val="00033143"/>
    <w:rsid w:val="00033B86"/>
    <w:rsid w:val="000348D5"/>
    <w:rsid w:val="000353F0"/>
    <w:rsid w:val="0003591A"/>
    <w:rsid w:val="00035B38"/>
    <w:rsid w:val="0003601A"/>
    <w:rsid w:val="000366FA"/>
    <w:rsid w:val="000370D2"/>
    <w:rsid w:val="00037E38"/>
    <w:rsid w:val="0004080A"/>
    <w:rsid w:val="00042871"/>
    <w:rsid w:val="00043996"/>
    <w:rsid w:val="00045A1C"/>
    <w:rsid w:val="00046994"/>
    <w:rsid w:val="000504DC"/>
    <w:rsid w:val="00050BAA"/>
    <w:rsid w:val="00050F42"/>
    <w:rsid w:val="000523A7"/>
    <w:rsid w:val="0005350B"/>
    <w:rsid w:val="00055771"/>
    <w:rsid w:val="00056A48"/>
    <w:rsid w:val="00057640"/>
    <w:rsid w:val="00057AD6"/>
    <w:rsid w:val="00061647"/>
    <w:rsid w:val="00062609"/>
    <w:rsid w:val="00062FA6"/>
    <w:rsid w:val="000647FB"/>
    <w:rsid w:val="000723D8"/>
    <w:rsid w:val="00072613"/>
    <w:rsid w:val="00072BE0"/>
    <w:rsid w:val="00073073"/>
    <w:rsid w:val="00073335"/>
    <w:rsid w:val="0007375F"/>
    <w:rsid w:val="00073CE3"/>
    <w:rsid w:val="00073FB3"/>
    <w:rsid w:val="00075AFE"/>
    <w:rsid w:val="0007671F"/>
    <w:rsid w:val="00076954"/>
    <w:rsid w:val="00076D24"/>
    <w:rsid w:val="00077D84"/>
    <w:rsid w:val="00080E54"/>
    <w:rsid w:val="00081150"/>
    <w:rsid w:val="0008590A"/>
    <w:rsid w:val="000865CC"/>
    <w:rsid w:val="000903BC"/>
    <w:rsid w:val="00092D70"/>
    <w:rsid w:val="00093C36"/>
    <w:rsid w:val="00095D90"/>
    <w:rsid w:val="00097346"/>
    <w:rsid w:val="000A00F0"/>
    <w:rsid w:val="000A01D1"/>
    <w:rsid w:val="000A032B"/>
    <w:rsid w:val="000A04D6"/>
    <w:rsid w:val="000A1653"/>
    <w:rsid w:val="000A184F"/>
    <w:rsid w:val="000A2374"/>
    <w:rsid w:val="000A2379"/>
    <w:rsid w:val="000A2925"/>
    <w:rsid w:val="000A2D43"/>
    <w:rsid w:val="000A5119"/>
    <w:rsid w:val="000A54F4"/>
    <w:rsid w:val="000B2585"/>
    <w:rsid w:val="000B4E03"/>
    <w:rsid w:val="000B68D5"/>
    <w:rsid w:val="000B77FE"/>
    <w:rsid w:val="000C1CCF"/>
    <w:rsid w:val="000C2EAD"/>
    <w:rsid w:val="000C5849"/>
    <w:rsid w:val="000C72C0"/>
    <w:rsid w:val="000C7F26"/>
    <w:rsid w:val="000D2A8E"/>
    <w:rsid w:val="000D2EE4"/>
    <w:rsid w:val="000D2F19"/>
    <w:rsid w:val="000D4B53"/>
    <w:rsid w:val="000D53CA"/>
    <w:rsid w:val="000D5B5D"/>
    <w:rsid w:val="000D5EAB"/>
    <w:rsid w:val="000D68C2"/>
    <w:rsid w:val="000D698F"/>
    <w:rsid w:val="000D765C"/>
    <w:rsid w:val="000E33CD"/>
    <w:rsid w:val="000E3493"/>
    <w:rsid w:val="000E3629"/>
    <w:rsid w:val="000E3748"/>
    <w:rsid w:val="000E4409"/>
    <w:rsid w:val="000E4636"/>
    <w:rsid w:val="000E47B1"/>
    <w:rsid w:val="000E623F"/>
    <w:rsid w:val="000E6EDD"/>
    <w:rsid w:val="000F08D8"/>
    <w:rsid w:val="000F0A47"/>
    <w:rsid w:val="000F224C"/>
    <w:rsid w:val="000F54BC"/>
    <w:rsid w:val="000F61A1"/>
    <w:rsid w:val="00101D18"/>
    <w:rsid w:val="00101DFB"/>
    <w:rsid w:val="001025A0"/>
    <w:rsid w:val="00104CE3"/>
    <w:rsid w:val="00110DF5"/>
    <w:rsid w:val="00111F74"/>
    <w:rsid w:val="00113526"/>
    <w:rsid w:val="001157ED"/>
    <w:rsid w:val="0011785E"/>
    <w:rsid w:val="001218BA"/>
    <w:rsid w:val="00123CDC"/>
    <w:rsid w:val="00124778"/>
    <w:rsid w:val="0012726B"/>
    <w:rsid w:val="00130C9F"/>
    <w:rsid w:val="00130FDC"/>
    <w:rsid w:val="00131920"/>
    <w:rsid w:val="00131CE1"/>
    <w:rsid w:val="00134D7B"/>
    <w:rsid w:val="001353F1"/>
    <w:rsid w:val="001354E5"/>
    <w:rsid w:val="001358AF"/>
    <w:rsid w:val="00137922"/>
    <w:rsid w:val="00137D3C"/>
    <w:rsid w:val="001403FB"/>
    <w:rsid w:val="00140844"/>
    <w:rsid w:val="001416D3"/>
    <w:rsid w:val="001418FE"/>
    <w:rsid w:val="00141D96"/>
    <w:rsid w:val="001427BF"/>
    <w:rsid w:val="001439C9"/>
    <w:rsid w:val="0014489C"/>
    <w:rsid w:val="00150E2A"/>
    <w:rsid w:val="00150FD5"/>
    <w:rsid w:val="00151007"/>
    <w:rsid w:val="00155359"/>
    <w:rsid w:val="00157887"/>
    <w:rsid w:val="00160A86"/>
    <w:rsid w:val="0016290A"/>
    <w:rsid w:val="0016298A"/>
    <w:rsid w:val="00166843"/>
    <w:rsid w:val="001668DB"/>
    <w:rsid w:val="00166D16"/>
    <w:rsid w:val="00170FE5"/>
    <w:rsid w:val="00171789"/>
    <w:rsid w:val="00172229"/>
    <w:rsid w:val="00172FF2"/>
    <w:rsid w:val="001742C9"/>
    <w:rsid w:val="00174C7B"/>
    <w:rsid w:val="00175A39"/>
    <w:rsid w:val="00176558"/>
    <w:rsid w:val="0018036D"/>
    <w:rsid w:val="001807B3"/>
    <w:rsid w:val="00181CD7"/>
    <w:rsid w:val="00184E1C"/>
    <w:rsid w:val="00186757"/>
    <w:rsid w:val="00191B49"/>
    <w:rsid w:val="00192671"/>
    <w:rsid w:val="00193325"/>
    <w:rsid w:val="001940E6"/>
    <w:rsid w:val="0019468D"/>
    <w:rsid w:val="00194721"/>
    <w:rsid w:val="00194799"/>
    <w:rsid w:val="00197471"/>
    <w:rsid w:val="001A0AA4"/>
    <w:rsid w:val="001A0CDC"/>
    <w:rsid w:val="001A14D7"/>
    <w:rsid w:val="001A4597"/>
    <w:rsid w:val="001B12EF"/>
    <w:rsid w:val="001B1731"/>
    <w:rsid w:val="001B3FC1"/>
    <w:rsid w:val="001B593F"/>
    <w:rsid w:val="001B71B3"/>
    <w:rsid w:val="001B798F"/>
    <w:rsid w:val="001C1EE1"/>
    <w:rsid w:val="001C3F23"/>
    <w:rsid w:val="001C4740"/>
    <w:rsid w:val="001C5287"/>
    <w:rsid w:val="001C5923"/>
    <w:rsid w:val="001C6453"/>
    <w:rsid w:val="001C6E0B"/>
    <w:rsid w:val="001C6FD6"/>
    <w:rsid w:val="001C790B"/>
    <w:rsid w:val="001D08ED"/>
    <w:rsid w:val="001D0AD6"/>
    <w:rsid w:val="001D1760"/>
    <w:rsid w:val="001D3D50"/>
    <w:rsid w:val="001D3FC7"/>
    <w:rsid w:val="001D4E49"/>
    <w:rsid w:val="001E00F6"/>
    <w:rsid w:val="001E211F"/>
    <w:rsid w:val="001E299B"/>
    <w:rsid w:val="001E2C84"/>
    <w:rsid w:val="001E3B7C"/>
    <w:rsid w:val="001E3F74"/>
    <w:rsid w:val="001E5604"/>
    <w:rsid w:val="001E59FC"/>
    <w:rsid w:val="001E5CD8"/>
    <w:rsid w:val="001E686F"/>
    <w:rsid w:val="001E708E"/>
    <w:rsid w:val="001F224C"/>
    <w:rsid w:val="001F59A1"/>
    <w:rsid w:val="001F60CD"/>
    <w:rsid w:val="001F6A75"/>
    <w:rsid w:val="002000F4"/>
    <w:rsid w:val="002003B4"/>
    <w:rsid w:val="002007CE"/>
    <w:rsid w:val="00200A11"/>
    <w:rsid w:val="00200C9E"/>
    <w:rsid w:val="00200FBE"/>
    <w:rsid w:val="00203544"/>
    <w:rsid w:val="002035AC"/>
    <w:rsid w:val="00203A5B"/>
    <w:rsid w:val="002126FF"/>
    <w:rsid w:val="00212923"/>
    <w:rsid w:val="0021324F"/>
    <w:rsid w:val="00216739"/>
    <w:rsid w:val="0021685A"/>
    <w:rsid w:val="00220AB3"/>
    <w:rsid w:val="0022161A"/>
    <w:rsid w:val="00221690"/>
    <w:rsid w:val="00221C64"/>
    <w:rsid w:val="002229A0"/>
    <w:rsid w:val="00222E14"/>
    <w:rsid w:val="002232B0"/>
    <w:rsid w:val="00223F49"/>
    <w:rsid w:val="00224844"/>
    <w:rsid w:val="002248D2"/>
    <w:rsid w:val="00224DB7"/>
    <w:rsid w:val="00225209"/>
    <w:rsid w:val="002256AD"/>
    <w:rsid w:val="00227A1E"/>
    <w:rsid w:val="00230205"/>
    <w:rsid w:val="00230B5F"/>
    <w:rsid w:val="00232379"/>
    <w:rsid w:val="002323DE"/>
    <w:rsid w:val="00232618"/>
    <w:rsid w:val="002329DC"/>
    <w:rsid w:val="00233CD9"/>
    <w:rsid w:val="00234B98"/>
    <w:rsid w:val="002409A2"/>
    <w:rsid w:val="0024177A"/>
    <w:rsid w:val="002448B3"/>
    <w:rsid w:val="0024526E"/>
    <w:rsid w:val="00245A2E"/>
    <w:rsid w:val="00245A95"/>
    <w:rsid w:val="00251054"/>
    <w:rsid w:val="002521FD"/>
    <w:rsid w:val="00252323"/>
    <w:rsid w:val="002530DA"/>
    <w:rsid w:val="002535AA"/>
    <w:rsid w:val="002536F6"/>
    <w:rsid w:val="00254E1C"/>
    <w:rsid w:val="00255F98"/>
    <w:rsid w:val="00256798"/>
    <w:rsid w:val="00257FD1"/>
    <w:rsid w:val="002631A3"/>
    <w:rsid w:val="0026686E"/>
    <w:rsid w:val="002668CD"/>
    <w:rsid w:val="00266E75"/>
    <w:rsid w:val="00270620"/>
    <w:rsid w:val="0027171B"/>
    <w:rsid w:val="002719C1"/>
    <w:rsid w:val="00271EA7"/>
    <w:rsid w:val="00272B9B"/>
    <w:rsid w:val="00273D3F"/>
    <w:rsid w:val="002753BE"/>
    <w:rsid w:val="002758B4"/>
    <w:rsid w:val="00276F06"/>
    <w:rsid w:val="002808A5"/>
    <w:rsid w:val="00280E2A"/>
    <w:rsid w:val="002815F9"/>
    <w:rsid w:val="00282464"/>
    <w:rsid w:val="00282C6E"/>
    <w:rsid w:val="00290E22"/>
    <w:rsid w:val="00292E08"/>
    <w:rsid w:val="0029484E"/>
    <w:rsid w:val="00294E30"/>
    <w:rsid w:val="00297D74"/>
    <w:rsid w:val="002A2115"/>
    <w:rsid w:val="002A325F"/>
    <w:rsid w:val="002A38A7"/>
    <w:rsid w:val="002A40A1"/>
    <w:rsid w:val="002A445A"/>
    <w:rsid w:val="002A5EE3"/>
    <w:rsid w:val="002A6992"/>
    <w:rsid w:val="002A777F"/>
    <w:rsid w:val="002B21E9"/>
    <w:rsid w:val="002B38E7"/>
    <w:rsid w:val="002B4451"/>
    <w:rsid w:val="002B535C"/>
    <w:rsid w:val="002B6D85"/>
    <w:rsid w:val="002B7059"/>
    <w:rsid w:val="002B7A4D"/>
    <w:rsid w:val="002C054C"/>
    <w:rsid w:val="002C1C74"/>
    <w:rsid w:val="002C2049"/>
    <w:rsid w:val="002C2582"/>
    <w:rsid w:val="002C5FCB"/>
    <w:rsid w:val="002C6C52"/>
    <w:rsid w:val="002C78A8"/>
    <w:rsid w:val="002C7C1D"/>
    <w:rsid w:val="002C7C39"/>
    <w:rsid w:val="002D00F0"/>
    <w:rsid w:val="002D019C"/>
    <w:rsid w:val="002D02ED"/>
    <w:rsid w:val="002D1853"/>
    <w:rsid w:val="002D1AC3"/>
    <w:rsid w:val="002D3A71"/>
    <w:rsid w:val="002D7F6B"/>
    <w:rsid w:val="002E007C"/>
    <w:rsid w:val="002E14B0"/>
    <w:rsid w:val="002E1D21"/>
    <w:rsid w:val="002E1E2F"/>
    <w:rsid w:val="002E2452"/>
    <w:rsid w:val="002E5C6E"/>
    <w:rsid w:val="002F043F"/>
    <w:rsid w:val="002F1A51"/>
    <w:rsid w:val="002F25EE"/>
    <w:rsid w:val="002F364A"/>
    <w:rsid w:val="002F3967"/>
    <w:rsid w:val="002F5623"/>
    <w:rsid w:val="002F62DF"/>
    <w:rsid w:val="002F6D54"/>
    <w:rsid w:val="002F76C3"/>
    <w:rsid w:val="002F795F"/>
    <w:rsid w:val="003001D0"/>
    <w:rsid w:val="003005E7"/>
    <w:rsid w:val="0030297F"/>
    <w:rsid w:val="00302999"/>
    <w:rsid w:val="00304D7E"/>
    <w:rsid w:val="0030628D"/>
    <w:rsid w:val="00311609"/>
    <w:rsid w:val="00312153"/>
    <w:rsid w:val="00313BCF"/>
    <w:rsid w:val="0031474A"/>
    <w:rsid w:val="00315A8B"/>
    <w:rsid w:val="0031655E"/>
    <w:rsid w:val="00316746"/>
    <w:rsid w:val="003170DF"/>
    <w:rsid w:val="003177B0"/>
    <w:rsid w:val="00317CCC"/>
    <w:rsid w:val="00321DCC"/>
    <w:rsid w:val="00322D3D"/>
    <w:rsid w:val="003230F4"/>
    <w:rsid w:val="00324784"/>
    <w:rsid w:val="00324D16"/>
    <w:rsid w:val="00325BEE"/>
    <w:rsid w:val="00325C5A"/>
    <w:rsid w:val="003263D0"/>
    <w:rsid w:val="00326793"/>
    <w:rsid w:val="0033298C"/>
    <w:rsid w:val="00332BBC"/>
    <w:rsid w:val="00332F09"/>
    <w:rsid w:val="003337D9"/>
    <w:rsid w:val="0033576B"/>
    <w:rsid w:val="0033607E"/>
    <w:rsid w:val="00337531"/>
    <w:rsid w:val="003406C9"/>
    <w:rsid w:val="00342206"/>
    <w:rsid w:val="003422F0"/>
    <w:rsid w:val="00342388"/>
    <w:rsid w:val="00342759"/>
    <w:rsid w:val="00343D4B"/>
    <w:rsid w:val="00344218"/>
    <w:rsid w:val="00344763"/>
    <w:rsid w:val="00346A14"/>
    <w:rsid w:val="003504FE"/>
    <w:rsid w:val="00350BDE"/>
    <w:rsid w:val="00352E3C"/>
    <w:rsid w:val="003556C5"/>
    <w:rsid w:val="003566D4"/>
    <w:rsid w:val="003629AF"/>
    <w:rsid w:val="003629DF"/>
    <w:rsid w:val="00362BB5"/>
    <w:rsid w:val="003643F9"/>
    <w:rsid w:val="00364C3C"/>
    <w:rsid w:val="00364F37"/>
    <w:rsid w:val="0036563E"/>
    <w:rsid w:val="0036726A"/>
    <w:rsid w:val="003674AA"/>
    <w:rsid w:val="00370026"/>
    <w:rsid w:val="00370245"/>
    <w:rsid w:val="00370642"/>
    <w:rsid w:val="00372093"/>
    <w:rsid w:val="00373392"/>
    <w:rsid w:val="00373FB7"/>
    <w:rsid w:val="0037546C"/>
    <w:rsid w:val="003769E5"/>
    <w:rsid w:val="00376BA5"/>
    <w:rsid w:val="0038004E"/>
    <w:rsid w:val="00387CC2"/>
    <w:rsid w:val="003914F1"/>
    <w:rsid w:val="00391DE7"/>
    <w:rsid w:val="0039237F"/>
    <w:rsid w:val="0039287A"/>
    <w:rsid w:val="00393253"/>
    <w:rsid w:val="0039423C"/>
    <w:rsid w:val="00396849"/>
    <w:rsid w:val="003A0FB6"/>
    <w:rsid w:val="003A511A"/>
    <w:rsid w:val="003B057C"/>
    <w:rsid w:val="003B09D7"/>
    <w:rsid w:val="003B1338"/>
    <w:rsid w:val="003B15B8"/>
    <w:rsid w:val="003B16BA"/>
    <w:rsid w:val="003B1917"/>
    <w:rsid w:val="003B22B2"/>
    <w:rsid w:val="003B3A4E"/>
    <w:rsid w:val="003B3F65"/>
    <w:rsid w:val="003B656E"/>
    <w:rsid w:val="003C111F"/>
    <w:rsid w:val="003C1CF6"/>
    <w:rsid w:val="003C4FEB"/>
    <w:rsid w:val="003C5A97"/>
    <w:rsid w:val="003C7512"/>
    <w:rsid w:val="003D085A"/>
    <w:rsid w:val="003D08AA"/>
    <w:rsid w:val="003D0D73"/>
    <w:rsid w:val="003D57C2"/>
    <w:rsid w:val="003D5CC7"/>
    <w:rsid w:val="003D633D"/>
    <w:rsid w:val="003D7100"/>
    <w:rsid w:val="003D791D"/>
    <w:rsid w:val="003E078E"/>
    <w:rsid w:val="003E126A"/>
    <w:rsid w:val="003E253F"/>
    <w:rsid w:val="003E3810"/>
    <w:rsid w:val="003E4310"/>
    <w:rsid w:val="003E45B6"/>
    <w:rsid w:val="003E473A"/>
    <w:rsid w:val="003E65B9"/>
    <w:rsid w:val="003F1DC3"/>
    <w:rsid w:val="003F1F9A"/>
    <w:rsid w:val="003F3EE2"/>
    <w:rsid w:val="003F794C"/>
    <w:rsid w:val="00400A81"/>
    <w:rsid w:val="0040163A"/>
    <w:rsid w:val="00401EEF"/>
    <w:rsid w:val="004020A8"/>
    <w:rsid w:val="004020F5"/>
    <w:rsid w:val="00402A95"/>
    <w:rsid w:val="004036AE"/>
    <w:rsid w:val="004042C1"/>
    <w:rsid w:val="00407335"/>
    <w:rsid w:val="004101C4"/>
    <w:rsid w:val="00410461"/>
    <w:rsid w:val="00411765"/>
    <w:rsid w:val="004123FF"/>
    <w:rsid w:val="0041245E"/>
    <w:rsid w:val="0041297A"/>
    <w:rsid w:val="004146A4"/>
    <w:rsid w:val="004149AF"/>
    <w:rsid w:val="00415D55"/>
    <w:rsid w:val="0041606B"/>
    <w:rsid w:val="00416EAE"/>
    <w:rsid w:val="00417E83"/>
    <w:rsid w:val="004202E1"/>
    <w:rsid w:val="00420C5F"/>
    <w:rsid w:val="00420DBD"/>
    <w:rsid w:val="004212D3"/>
    <w:rsid w:val="00421521"/>
    <w:rsid w:val="004236C6"/>
    <w:rsid w:val="00423780"/>
    <w:rsid w:val="0042438B"/>
    <w:rsid w:val="00424F6D"/>
    <w:rsid w:val="004255FC"/>
    <w:rsid w:val="00425842"/>
    <w:rsid w:val="00430509"/>
    <w:rsid w:val="00430A8C"/>
    <w:rsid w:val="0043191C"/>
    <w:rsid w:val="00432604"/>
    <w:rsid w:val="00433790"/>
    <w:rsid w:val="00434A20"/>
    <w:rsid w:val="0044028A"/>
    <w:rsid w:val="00440FA4"/>
    <w:rsid w:val="00441519"/>
    <w:rsid w:val="0044391E"/>
    <w:rsid w:val="004444A6"/>
    <w:rsid w:val="0044538C"/>
    <w:rsid w:val="0044644C"/>
    <w:rsid w:val="00451C5E"/>
    <w:rsid w:val="00452067"/>
    <w:rsid w:val="00452582"/>
    <w:rsid w:val="00452AA7"/>
    <w:rsid w:val="00452BF1"/>
    <w:rsid w:val="00452D18"/>
    <w:rsid w:val="00454367"/>
    <w:rsid w:val="00464216"/>
    <w:rsid w:val="00464795"/>
    <w:rsid w:val="00465918"/>
    <w:rsid w:val="0046687E"/>
    <w:rsid w:val="00467C1E"/>
    <w:rsid w:val="0047054D"/>
    <w:rsid w:val="004715C6"/>
    <w:rsid w:val="00474FBF"/>
    <w:rsid w:val="00476111"/>
    <w:rsid w:val="004777CA"/>
    <w:rsid w:val="004811C3"/>
    <w:rsid w:val="004817D1"/>
    <w:rsid w:val="00481AB3"/>
    <w:rsid w:val="00481CDD"/>
    <w:rsid w:val="00481FFE"/>
    <w:rsid w:val="00482E9C"/>
    <w:rsid w:val="0048465A"/>
    <w:rsid w:val="00485A83"/>
    <w:rsid w:val="004863C8"/>
    <w:rsid w:val="00491103"/>
    <w:rsid w:val="00491C4D"/>
    <w:rsid w:val="00491DBC"/>
    <w:rsid w:val="0049436B"/>
    <w:rsid w:val="00494F6F"/>
    <w:rsid w:val="004953E7"/>
    <w:rsid w:val="004958FF"/>
    <w:rsid w:val="00496B25"/>
    <w:rsid w:val="004A0F94"/>
    <w:rsid w:val="004A1082"/>
    <w:rsid w:val="004A2927"/>
    <w:rsid w:val="004A31FB"/>
    <w:rsid w:val="004A580D"/>
    <w:rsid w:val="004A6B79"/>
    <w:rsid w:val="004B1700"/>
    <w:rsid w:val="004B4479"/>
    <w:rsid w:val="004B46E1"/>
    <w:rsid w:val="004B5A37"/>
    <w:rsid w:val="004B7381"/>
    <w:rsid w:val="004C065D"/>
    <w:rsid w:val="004C089E"/>
    <w:rsid w:val="004C1774"/>
    <w:rsid w:val="004C43EB"/>
    <w:rsid w:val="004C4471"/>
    <w:rsid w:val="004C53F9"/>
    <w:rsid w:val="004C71C7"/>
    <w:rsid w:val="004C77CD"/>
    <w:rsid w:val="004D0FB6"/>
    <w:rsid w:val="004D4F58"/>
    <w:rsid w:val="004D76C1"/>
    <w:rsid w:val="004D7A24"/>
    <w:rsid w:val="004D7AC3"/>
    <w:rsid w:val="004E0A10"/>
    <w:rsid w:val="004E1073"/>
    <w:rsid w:val="004E1F63"/>
    <w:rsid w:val="004E2186"/>
    <w:rsid w:val="004E40C8"/>
    <w:rsid w:val="004E61B7"/>
    <w:rsid w:val="004E688E"/>
    <w:rsid w:val="004E6C79"/>
    <w:rsid w:val="004E6E03"/>
    <w:rsid w:val="004E7F56"/>
    <w:rsid w:val="004F0339"/>
    <w:rsid w:val="004F10DB"/>
    <w:rsid w:val="004F1256"/>
    <w:rsid w:val="004F2C9E"/>
    <w:rsid w:val="004F3605"/>
    <w:rsid w:val="004F3A6D"/>
    <w:rsid w:val="004F3D03"/>
    <w:rsid w:val="004F6C33"/>
    <w:rsid w:val="004F6E24"/>
    <w:rsid w:val="00502EC6"/>
    <w:rsid w:val="00502F37"/>
    <w:rsid w:val="0050442B"/>
    <w:rsid w:val="00510DE2"/>
    <w:rsid w:val="005120CB"/>
    <w:rsid w:val="00512924"/>
    <w:rsid w:val="00516D20"/>
    <w:rsid w:val="005214F4"/>
    <w:rsid w:val="005217F6"/>
    <w:rsid w:val="00524D9B"/>
    <w:rsid w:val="00525259"/>
    <w:rsid w:val="00525298"/>
    <w:rsid w:val="00535355"/>
    <w:rsid w:val="00537395"/>
    <w:rsid w:val="005375D5"/>
    <w:rsid w:val="00540240"/>
    <w:rsid w:val="00542B4B"/>
    <w:rsid w:val="00542C2E"/>
    <w:rsid w:val="00544B03"/>
    <w:rsid w:val="005472B2"/>
    <w:rsid w:val="00547DD2"/>
    <w:rsid w:val="005515D7"/>
    <w:rsid w:val="005541E8"/>
    <w:rsid w:val="00554492"/>
    <w:rsid w:val="00556490"/>
    <w:rsid w:val="00560918"/>
    <w:rsid w:val="005638ED"/>
    <w:rsid w:val="005639A0"/>
    <w:rsid w:val="00563CBD"/>
    <w:rsid w:val="00564A9A"/>
    <w:rsid w:val="0056547F"/>
    <w:rsid w:val="005672F5"/>
    <w:rsid w:val="0057094E"/>
    <w:rsid w:val="00570B2C"/>
    <w:rsid w:val="0057266F"/>
    <w:rsid w:val="00572E52"/>
    <w:rsid w:val="005746AB"/>
    <w:rsid w:val="00574B7C"/>
    <w:rsid w:val="0057509B"/>
    <w:rsid w:val="005757AE"/>
    <w:rsid w:val="00582002"/>
    <w:rsid w:val="00582986"/>
    <w:rsid w:val="00582C15"/>
    <w:rsid w:val="00592488"/>
    <w:rsid w:val="00595506"/>
    <w:rsid w:val="005955F2"/>
    <w:rsid w:val="00596977"/>
    <w:rsid w:val="005A0276"/>
    <w:rsid w:val="005A0829"/>
    <w:rsid w:val="005A26EE"/>
    <w:rsid w:val="005A3C7C"/>
    <w:rsid w:val="005A43AD"/>
    <w:rsid w:val="005A48D7"/>
    <w:rsid w:val="005A79DB"/>
    <w:rsid w:val="005B0325"/>
    <w:rsid w:val="005B2FD2"/>
    <w:rsid w:val="005B3C56"/>
    <w:rsid w:val="005B4C6A"/>
    <w:rsid w:val="005B4D33"/>
    <w:rsid w:val="005B5638"/>
    <w:rsid w:val="005B6F46"/>
    <w:rsid w:val="005B71D6"/>
    <w:rsid w:val="005B7BB5"/>
    <w:rsid w:val="005C020B"/>
    <w:rsid w:val="005C089F"/>
    <w:rsid w:val="005C5892"/>
    <w:rsid w:val="005C6A54"/>
    <w:rsid w:val="005D0058"/>
    <w:rsid w:val="005D0EE9"/>
    <w:rsid w:val="005E091B"/>
    <w:rsid w:val="005E0E33"/>
    <w:rsid w:val="005E27D4"/>
    <w:rsid w:val="005E3EF1"/>
    <w:rsid w:val="005E423A"/>
    <w:rsid w:val="005E7BC2"/>
    <w:rsid w:val="005E7C09"/>
    <w:rsid w:val="005F0469"/>
    <w:rsid w:val="005F0D40"/>
    <w:rsid w:val="005F0D78"/>
    <w:rsid w:val="005F14E4"/>
    <w:rsid w:val="005F15D2"/>
    <w:rsid w:val="005F2101"/>
    <w:rsid w:val="005F2C41"/>
    <w:rsid w:val="005F3100"/>
    <w:rsid w:val="005F4DBC"/>
    <w:rsid w:val="005F6F91"/>
    <w:rsid w:val="005F742E"/>
    <w:rsid w:val="0060080A"/>
    <w:rsid w:val="00601B37"/>
    <w:rsid w:val="00602A5B"/>
    <w:rsid w:val="00604990"/>
    <w:rsid w:val="00605242"/>
    <w:rsid w:val="006062E3"/>
    <w:rsid w:val="00607AE7"/>
    <w:rsid w:val="00607B23"/>
    <w:rsid w:val="00607B76"/>
    <w:rsid w:val="00611F1F"/>
    <w:rsid w:val="00612E74"/>
    <w:rsid w:val="00613073"/>
    <w:rsid w:val="00613C10"/>
    <w:rsid w:val="00614C70"/>
    <w:rsid w:val="00615B4D"/>
    <w:rsid w:val="00615F08"/>
    <w:rsid w:val="0061624F"/>
    <w:rsid w:val="006212F4"/>
    <w:rsid w:val="00621697"/>
    <w:rsid w:val="00621728"/>
    <w:rsid w:val="00622351"/>
    <w:rsid w:val="0062314A"/>
    <w:rsid w:val="00624E17"/>
    <w:rsid w:val="00627039"/>
    <w:rsid w:val="006279D9"/>
    <w:rsid w:val="00627E76"/>
    <w:rsid w:val="00630DBF"/>
    <w:rsid w:val="006310BA"/>
    <w:rsid w:val="006312EE"/>
    <w:rsid w:val="0063191C"/>
    <w:rsid w:val="00632739"/>
    <w:rsid w:val="0063737C"/>
    <w:rsid w:val="00637385"/>
    <w:rsid w:val="0064150A"/>
    <w:rsid w:val="006444A2"/>
    <w:rsid w:val="00645D1E"/>
    <w:rsid w:val="00646044"/>
    <w:rsid w:val="00647E6F"/>
    <w:rsid w:val="00650D8D"/>
    <w:rsid w:val="006536F5"/>
    <w:rsid w:val="006568E5"/>
    <w:rsid w:val="0065711D"/>
    <w:rsid w:val="00657391"/>
    <w:rsid w:val="006609D0"/>
    <w:rsid w:val="00660FDC"/>
    <w:rsid w:val="0066229A"/>
    <w:rsid w:val="00662760"/>
    <w:rsid w:val="0066313C"/>
    <w:rsid w:val="00663B6F"/>
    <w:rsid w:val="00665893"/>
    <w:rsid w:val="00666091"/>
    <w:rsid w:val="006700B9"/>
    <w:rsid w:val="006709BE"/>
    <w:rsid w:val="00671EE6"/>
    <w:rsid w:val="00671F84"/>
    <w:rsid w:val="006725EA"/>
    <w:rsid w:val="00675471"/>
    <w:rsid w:val="00675752"/>
    <w:rsid w:val="006759D9"/>
    <w:rsid w:val="00682003"/>
    <w:rsid w:val="00683402"/>
    <w:rsid w:val="006835DD"/>
    <w:rsid w:val="00687589"/>
    <w:rsid w:val="00691A69"/>
    <w:rsid w:val="006959D8"/>
    <w:rsid w:val="00697253"/>
    <w:rsid w:val="006A08DE"/>
    <w:rsid w:val="006A12CE"/>
    <w:rsid w:val="006A17F4"/>
    <w:rsid w:val="006A1A54"/>
    <w:rsid w:val="006A31D5"/>
    <w:rsid w:val="006A5DDA"/>
    <w:rsid w:val="006A6A03"/>
    <w:rsid w:val="006A6F57"/>
    <w:rsid w:val="006A7D59"/>
    <w:rsid w:val="006B0297"/>
    <w:rsid w:val="006B4BB3"/>
    <w:rsid w:val="006C0375"/>
    <w:rsid w:val="006C2F0A"/>
    <w:rsid w:val="006C3A8A"/>
    <w:rsid w:val="006C4BEC"/>
    <w:rsid w:val="006C5391"/>
    <w:rsid w:val="006C77DF"/>
    <w:rsid w:val="006C7B46"/>
    <w:rsid w:val="006D13CF"/>
    <w:rsid w:val="006D62AA"/>
    <w:rsid w:val="006D62AF"/>
    <w:rsid w:val="006E09A1"/>
    <w:rsid w:val="006E30FE"/>
    <w:rsid w:val="006E40AC"/>
    <w:rsid w:val="006E42E3"/>
    <w:rsid w:val="006E7CED"/>
    <w:rsid w:val="006F0265"/>
    <w:rsid w:val="006F08D8"/>
    <w:rsid w:val="006F2B66"/>
    <w:rsid w:val="006F60BC"/>
    <w:rsid w:val="006F76D0"/>
    <w:rsid w:val="00700A82"/>
    <w:rsid w:val="0070236A"/>
    <w:rsid w:val="00704163"/>
    <w:rsid w:val="007057D2"/>
    <w:rsid w:val="00705C97"/>
    <w:rsid w:val="00706CC3"/>
    <w:rsid w:val="007076D8"/>
    <w:rsid w:val="00707764"/>
    <w:rsid w:val="00711EB5"/>
    <w:rsid w:val="00716186"/>
    <w:rsid w:val="00717666"/>
    <w:rsid w:val="00717CBE"/>
    <w:rsid w:val="00720335"/>
    <w:rsid w:val="00721BE1"/>
    <w:rsid w:val="0072246F"/>
    <w:rsid w:val="00722755"/>
    <w:rsid w:val="00724AA5"/>
    <w:rsid w:val="0072641D"/>
    <w:rsid w:val="00727A4F"/>
    <w:rsid w:val="00732B5E"/>
    <w:rsid w:val="007332A8"/>
    <w:rsid w:val="007332AF"/>
    <w:rsid w:val="00734300"/>
    <w:rsid w:val="00734A85"/>
    <w:rsid w:val="00735755"/>
    <w:rsid w:val="00735D93"/>
    <w:rsid w:val="00735F8B"/>
    <w:rsid w:val="00736971"/>
    <w:rsid w:val="00737A6E"/>
    <w:rsid w:val="00740C34"/>
    <w:rsid w:val="00744296"/>
    <w:rsid w:val="0074553F"/>
    <w:rsid w:val="00745D72"/>
    <w:rsid w:val="00745DFB"/>
    <w:rsid w:val="00745F67"/>
    <w:rsid w:val="007462B9"/>
    <w:rsid w:val="007467E3"/>
    <w:rsid w:val="00750BF8"/>
    <w:rsid w:val="0075251D"/>
    <w:rsid w:val="00752EC2"/>
    <w:rsid w:val="0075775F"/>
    <w:rsid w:val="007616B2"/>
    <w:rsid w:val="007620B8"/>
    <w:rsid w:val="007623F8"/>
    <w:rsid w:val="007633F4"/>
    <w:rsid w:val="007660C0"/>
    <w:rsid w:val="00767E20"/>
    <w:rsid w:val="0077111E"/>
    <w:rsid w:val="0077148B"/>
    <w:rsid w:val="00777FB3"/>
    <w:rsid w:val="0078087B"/>
    <w:rsid w:val="00780907"/>
    <w:rsid w:val="00780AE2"/>
    <w:rsid w:val="0078333E"/>
    <w:rsid w:val="00783BC7"/>
    <w:rsid w:val="00784DDF"/>
    <w:rsid w:val="00784E85"/>
    <w:rsid w:val="007853B4"/>
    <w:rsid w:val="00785738"/>
    <w:rsid w:val="00792F70"/>
    <w:rsid w:val="0079343C"/>
    <w:rsid w:val="00793BA8"/>
    <w:rsid w:val="007A05BB"/>
    <w:rsid w:val="007A16D2"/>
    <w:rsid w:val="007A1871"/>
    <w:rsid w:val="007A23A1"/>
    <w:rsid w:val="007A3676"/>
    <w:rsid w:val="007A4F05"/>
    <w:rsid w:val="007A687B"/>
    <w:rsid w:val="007A6B3B"/>
    <w:rsid w:val="007A6D12"/>
    <w:rsid w:val="007A71C4"/>
    <w:rsid w:val="007A783F"/>
    <w:rsid w:val="007B29FE"/>
    <w:rsid w:val="007B2AE8"/>
    <w:rsid w:val="007B330F"/>
    <w:rsid w:val="007B37FC"/>
    <w:rsid w:val="007B48DC"/>
    <w:rsid w:val="007B541E"/>
    <w:rsid w:val="007B5A02"/>
    <w:rsid w:val="007B7093"/>
    <w:rsid w:val="007C248B"/>
    <w:rsid w:val="007C2C8E"/>
    <w:rsid w:val="007C3443"/>
    <w:rsid w:val="007C3531"/>
    <w:rsid w:val="007C48AA"/>
    <w:rsid w:val="007C55D0"/>
    <w:rsid w:val="007D2EAD"/>
    <w:rsid w:val="007D7C5E"/>
    <w:rsid w:val="007E0B0B"/>
    <w:rsid w:val="007E0D84"/>
    <w:rsid w:val="007E0E49"/>
    <w:rsid w:val="007E164A"/>
    <w:rsid w:val="007E1936"/>
    <w:rsid w:val="007E2617"/>
    <w:rsid w:val="007E658D"/>
    <w:rsid w:val="007E69E4"/>
    <w:rsid w:val="007F648E"/>
    <w:rsid w:val="007F6AE5"/>
    <w:rsid w:val="00800E11"/>
    <w:rsid w:val="00803F59"/>
    <w:rsid w:val="00804818"/>
    <w:rsid w:val="00805A67"/>
    <w:rsid w:val="00807C5F"/>
    <w:rsid w:val="008157B0"/>
    <w:rsid w:val="00815FC7"/>
    <w:rsid w:val="00820757"/>
    <w:rsid w:val="008226B0"/>
    <w:rsid w:val="008244FB"/>
    <w:rsid w:val="0082517E"/>
    <w:rsid w:val="00825483"/>
    <w:rsid w:val="008269AE"/>
    <w:rsid w:val="0083038A"/>
    <w:rsid w:val="00830D95"/>
    <w:rsid w:val="00834694"/>
    <w:rsid w:val="00834EAD"/>
    <w:rsid w:val="00836C5F"/>
    <w:rsid w:val="008400DE"/>
    <w:rsid w:val="00840FD4"/>
    <w:rsid w:val="00841935"/>
    <w:rsid w:val="00843E6F"/>
    <w:rsid w:val="00844027"/>
    <w:rsid w:val="00844278"/>
    <w:rsid w:val="00847AB8"/>
    <w:rsid w:val="008502BB"/>
    <w:rsid w:val="0085253F"/>
    <w:rsid w:val="00853A34"/>
    <w:rsid w:val="00853B1B"/>
    <w:rsid w:val="00855057"/>
    <w:rsid w:val="0085675B"/>
    <w:rsid w:val="00856E69"/>
    <w:rsid w:val="008571C9"/>
    <w:rsid w:val="00857481"/>
    <w:rsid w:val="00857A51"/>
    <w:rsid w:val="00857C54"/>
    <w:rsid w:val="00860224"/>
    <w:rsid w:val="00860973"/>
    <w:rsid w:val="00861403"/>
    <w:rsid w:val="00861AFA"/>
    <w:rsid w:val="00861C5A"/>
    <w:rsid w:val="008625E0"/>
    <w:rsid w:val="00864527"/>
    <w:rsid w:val="0086487E"/>
    <w:rsid w:val="00864AB1"/>
    <w:rsid w:val="008651CB"/>
    <w:rsid w:val="008652DD"/>
    <w:rsid w:val="00866742"/>
    <w:rsid w:val="00867ACC"/>
    <w:rsid w:val="00871381"/>
    <w:rsid w:val="0087213F"/>
    <w:rsid w:val="00873440"/>
    <w:rsid w:val="0087520D"/>
    <w:rsid w:val="008753E5"/>
    <w:rsid w:val="008762E0"/>
    <w:rsid w:val="00876C6E"/>
    <w:rsid w:val="0088005F"/>
    <w:rsid w:val="0088014E"/>
    <w:rsid w:val="0088092A"/>
    <w:rsid w:val="00880A5B"/>
    <w:rsid w:val="00881279"/>
    <w:rsid w:val="00881BCA"/>
    <w:rsid w:val="00881D28"/>
    <w:rsid w:val="00882B3C"/>
    <w:rsid w:val="00883059"/>
    <w:rsid w:val="008850DD"/>
    <w:rsid w:val="0088648E"/>
    <w:rsid w:val="008867F9"/>
    <w:rsid w:val="00886859"/>
    <w:rsid w:val="00887DFF"/>
    <w:rsid w:val="00887F2F"/>
    <w:rsid w:val="008916ED"/>
    <w:rsid w:val="00891D0E"/>
    <w:rsid w:val="0089277B"/>
    <w:rsid w:val="00892E2A"/>
    <w:rsid w:val="00892FE1"/>
    <w:rsid w:val="00893CB9"/>
    <w:rsid w:val="00894AEC"/>
    <w:rsid w:val="0089537E"/>
    <w:rsid w:val="00895D36"/>
    <w:rsid w:val="008975EB"/>
    <w:rsid w:val="00897B28"/>
    <w:rsid w:val="008A0AAB"/>
    <w:rsid w:val="008A1D0F"/>
    <w:rsid w:val="008A39EB"/>
    <w:rsid w:val="008A3D5D"/>
    <w:rsid w:val="008A4F8F"/>
    <w:rsid w:val="008A5ED3"/>
    <w:rsid w:val="008B0685"/>
    <w:rsid w:val="008B4C4F"/>
    <w:rsid w:val="008B56CE"/>
    <w:rsid w:val="008B5CFB"/>
    <w:rsid w:val="008B6102"/>
    <w:rsid w:val="008B6ED7"/>
    <w:rsid w:val="008B6F20"/>
    <w:rsid w:val="008B7AB0"/>
    <w:rsid w:val="008C06F9"/>
    <w:rsid w:val="008C2328"/>
    <w:rsid w:val="008C3641"/>
    <w:rsid w:val="008C36CC"/>
    <w:rsid w:val="008C6209"/>
    <w:rsid w:val="008C62B0"/>
    <w:rsid w:val="008C64C6"/>
    <w:rsid w:val="008C7018"/>
    <w:rsid w:val="008D142F"/>
    <w:rsid w:val="008D30D7"/>
    <w:rsid w:val="008D3176"/>
    <w:rsid w:val="008D3466"/>
    <w:rsid w:val="008D49C3"/>
    <w:rsid w:val="008D4F68"/>
    <w:rsid w:val="008D531D"/>
    <w:rsid w:val="008D5968"/>
    <w:rsid w:val="008D714C"/>
    <w:rsid w:val="008D79F6"/>
    <w:rsid w:val="008E13A7"/>
    <w:rsid w:val="008E2EBB"/>
    <w:rsid w:val="008E38F7"/>
    <w:rsid w:val="008E3FB6"/>
    <w:rsid w:val="008F3393"/>
    <w:rsid w:val="008F3452"/>
    <w:rsid w:val="008F3A55"/>
    <w:rsid w:val="008F42D9"/>
    <w:rsid w:val="008F6D74"/>
    <w:rsid w:val="008F727F"/>
    <w:rsid w:val="00901308"/>
    <w:rsid w:val="009020A5"/>
    <w:rsid w:val="00902987"/>
    <w:rsid w:val="00902E91"/>
    <w:rsid w:val="0090379C"/>
    <w:rsid w:val="00904496"/>
    <w:rsid w:val="00905330"/>
    <w:rsid w:val="0090542F"/>
    <w:rsid w:val="009061E0"/>
    <w:rsid w:val="00906780"/>
    <w:rsid w:val="009068F8"/>
    <w:rsid w:val="00906D79"/>
    <w:rsid w:val="00906F9B"/>
    <w:rsid w:val="0091122B"/>
    <w:rsid w:val="00911944"/>
    <w:rsid w:val="0091356A"/>
    <w:rsid w:val="00914208"/>
    <w:rsid w:val="009157B5"/>
    <w:rsid w:val="00917352"/>
    <w:rsid w:val="00920183"/>
    <w:rsid w:val="00921BA0"/>
    <w:rsid w:val="009227D1"/>
    <w:rsid w:val="009230D8"/>
    <w:rsid w:val="00924AE1"/>
    <w:rsid w:val="00926346"/>
    <w:rsid w:val="009264BF"/>
    <w:rsid w:val="00927B15"/>
    <w:rsid w:val="009328FA"/>
    <w:rsid w:val="00933D2E"/>
    <w:rsid w:val="00935348"/>
    <w:rsid w:val="0093619C"/>
    <w:rsid w:val="00936FFF"/>
    <w:rsid w:val="00941ABF"/>
    <w:rsid w:val="0094295C"/>
    <w:rsid w:val="00942DA3"/>
    <w:rsid w:val="0094353E"/>
    <w:rsid w:val="00944D69"/>
    <w:rsid w:val="00951964"/>
    <w:rsid w:val="00951B89"/>
    <w:rsid w:val="00952D29"/>
    <w:rsid w:val="00952F21"/>
    <w:rsid w:val="009549D1"/>
    <w:rsid w:val="00954AE2"/>
    <w:rsid w:val="00961E70"/>
    <w:rsid w:val="00965A11"/>
    <w:rsid w:val="009673D0"/>
    <w:rsid w:val="00971574"/>
    <w:rsid w:val="009726D3"/>
    <w:rsid w:val="00972E2E"/>
    <w:rsid w:val="00974F48"/>
    <w:rsid w:val="00975378"/>
    <w:rsid w:val="009757A4"/>
    <w:rsid w:val="00975BCA"/>
    <w:rsid w:val="00975E6B"/>
    <w:rsid w:val="00977744"/>
    <w:rsid w:val="00985D54"/>
    <w:rsid w:val="009865A6"/>
    <w:rsid w:val="009927DB"/>
    <w:rsid w:val="00993466"/>
    <w:rsid w:val="00995F6C"/>
    <w:rsid w:val="009965C0"/>
    <w:rsid w:val="009966BF"/>
    <w:rsid w:val="0099675F"/>
    <w:rsid w:val="00996AEB"/>
    <w:rsid w:val="009974A0"/>
    <w:rsid w:val="00997CAF"/>
    <w:rsid w:val="009A0869"/>
    <w:rsid w:val="009A3AE0"/>
    <w:rsid w:val="009A5378"/>
    <w:rsid w:val="009A557A"/>
    <w:rsid w:val="009A6176"/>
    <w:rsid w:val="009B13BD"/>
    <w:rsid w:val="009B2FC4"/>
    <w:rsid w:val="009B3606"/>
    <w:rsid w:val="009B366D"/>
    <w:rsid w:val="009B5390"/>
    <w:rsid w:val="009B575D"/>
    <w:rsid w:val="009B607A"/>
    <w:rsid w:val="009B6352"/>
    <w:rsid w:val="009B69F1"/>
    <w:rsid w:val="009B6A54"/>
    <w:rsid w:val="009B7FD0"/>
    <w:rsid w:val="009C0A42"/>
    <w:rsid w:val="009C0CB8"/>
    <w:rsid w:val="009C15A8"/>
    <w:rsid w:val="009C6319"/>
    <w:rsid w:val="009C7C4A"/>
    <w:rsid w:val="009D1430"/>
    <w:rsid w:val="009D27B6"/>
    <w:rsid w:val="009D2E98"/>
    <w:rsid w:val="009D39C5"/>
    <w:rsid w:val="009D3D62"/>
    <w:rsid w:val="009D468A"/>
    <w:rsid w:val="009D4708"/>
    <w:rsid w:val="009D5183"/>
    <w:rsid w:val="009D7439"/>
    <w:rsid w:val="009D76A8"/>
    <w:rsid w:val="009D7D95"/>
    <w:rsid w:val="009E0F84"/>
    <w:rsid w:val="009E2BD2"/>
    <w:rsid w:val="009E32BE"/>
    <w:rsid w:val="009E41B9"/>
    <w:rsid w:val="009E4F3C"/>
    <w:rsid w:val="009E7112"/>
    <w:rsid w:val="009F1F1E"/>
    <w:rsid w:val="009F48DA"/>
    <w:rsid w:val="009F587D"/>
    <w:rsid w:val="009F769F"/>
    <w:rsid w:val="009F770A"/>
    <w:rsid w:val="00A0164A"/>
    <w:rsid w:val="00A01A5A"/>
    <w:rsid w:val="00A01D1E"/>
    <w:rsid w:val="00A028DD"/>
    <w:rsid w:val="00A05271"/>
    <w:rsid w:val="00A054CE"/>
    <w:rsid w:val="00A12D9E"/>
    <w:rsid w:val="00A14E36"/>
    <w:rsid w:val="00A14F78"/>
    <w:rsid w:val="00A15BDB"/>
    <w:rsid w:val="00A17C76"/>
    <w:rsid w:val="00A227AA"/>
    <w:rsid w:val="00A229DB"/>
    <w:rsid w:val="00A241BA"/>
    <w:rsid w:val="00A24A54"/>
    <w:rsid w:val="00A26144"/>
    <w:rsid w:val="00A27B49"/>
    <w:rsid w:val="00A305A6"/>
    <w:rsid w:val="00A311EE"/>
    <w:rsid w:val="00A31AD2"/>
    <w:rsid w:val="00A32C1A"/>
    <w:rsid w:val="00A33A3E"/>
    <w:rsid w:val="00A34326"/>
    <w:rsid w:val="00A34C0A"/>
    <w:rsid w:val="00A359DB"/>
    <w:rsid w:val="00A36FAD"/>
    <w:rsid w:val="00A37213"/>
    <w:rsid w:val="00A40060"/>
    <w:rsid w:val="00A406F4"/>
    <w:rsid w:val="00A40F25"/>
    <w:rsid w:val="00A416F6"/>
    <w:rsid w:val="00A44AB8"/>
    <w:rsid w:val="00A44F1F"/>
    <w:rsid w:val="00A457F8"/>
    <w:rsid w:val="00A50C8E"/>
    <w:rsid w:val="00A5243B"/>
    <w:rsid w:val="00A5423F"/>
    <w:rsid w:val="00A56A93"/>
    <w:rsid w:val="00A56F4E"/>
    <w:rsid w:val="00A5743F"/>
    <w:rsid w:val="00A60708"/>
    <w:rsid w:val="00A60E03"/>
    <w:rsid w:val="00A6223E"/>
    <w:rsid w:val="00A6446C"/>
    <w:rsid w:val="00A65A19"/>
    <w:rsid w:val="00A662DB"/>
    <w:rsid w:val="00A70E39"/>
    <w:rsid w:val="00A7114D"/>
    <w:rsid w:val="00A722EA"/>
    <w:rsid w:val="00A73707"/>
    <w:rsid w:val="00A74613"/>
    <w:rsid w:val="00A80369"/>
    <w:rsid w:val="00A81692"/>
    <w:rsid w:val="00A82233"/>
    <w:rsid w:val="00A82D1F"/>
    <w:rsid w:val="00A830BA"/>
    <w:rsid w:val="00A83997"/>
    <w:rsid w:val="00A86E04"/>
    <w:rsid w:val="00A87CCF"/>
    <w:rsid w:val="00A90B64"/>
    <w:rsid w:val="00A92ACB"/>
    <w:rsid w:val="00A92E7E"/>
    <w:rsid w:val="00A95C41"/>
    <w:rsid w:val="00A96819"/>
    <w:rsid w:val="00AA27EC"/>
    <w:rsid w:val="00AA2E63"/>
    <w:rsid w:val="00AB0F77"/>
    <w:rsid w:val="00AB23FE"/>
    <w:rsid w:val="00AB2B83"/>
    <w:rsid w:val="00AB4070"/>
    <w:rsid w:val="00AB42C2"/>
    <w:rsid w:val="00AB4503"/>
    <w:rsid w:val="00AB6A55"/>
    <w:rsid w:val="00AB6CCF"/>
    <w:rsid w:val="00AB709A"/>
    <w:rsid w:val="00AC12F4"/>
    <w:rsid w:val="00AC1E7A"/>
    <w:rsid w:val="00AC2A69"/>
    <w:rsid w:val="00AC512E"/>
    <w:rsid w:val="00AC54C0"/>
    <w:rsid w:val="00AD2282"/>
    <w:rsid w:val="00AD23D1"/>
    <w:rsid w:val="00AD4232"/>
    <w:rsid w:val="00AD47BB"/>
    <w:rsid w:val="00AD5537"/>
    <w:rsid w:val="00AE0675"/>
    <w:rsid w:val="00AE2878"/>
    <w:rsid w:val="00AE3108"/>
    <w:rsid w:val="00AE37F8"/>
    <w:rsid w:val="00AE3C5B"/>
    <w:rsid w:val="00AE6284"/>
    <w:rsid w:val="00AF0768"/>
    <w:rsid w:val="00AF17ED"/>
    <w:rsid w:val="00AF205C"/>
    <w:rsid w:val="00AF343F"/>
    <w:rsid w:val="00AF428F"/>
    <w:rsid w:val="00AF4307"/>
    <w:rsid w:val="00AF6096"/>
    <w:rsid w:val="00AF7E94"/>
    <w:rsid w:val="00B0061E"/>
    <w:rsid w:val="00B00987"/>
    <w:rsid w:val="00B0115E"/>
    <w:rsid w:val="00B031D6"/>
    <w:rsid w:val="00B036BE"/>
    <w:rsid w:val="00B036CA"/>
    <w:rsid w:val="00B041BD"/>
    <w:rsid w:val="00B10ADC"/>
    <w:rsid w:val="00B1232F"/>
    <w:rsid w:val="00B128F9"/>
    <w:rsid w:val="00B1326C"/>
    <w:rsid w:val="00B1581B"/>
    <w:rsid w:val="00B20D38"/>
    <w:rsid w:val="00B2300B"/>
    <w:rsid w:val="00B258F7"/>
    <w:rsid w:val="00B26BD8"/>
    <w:rsid w:val="00B301F7"/>
    <w:rsid w:val="00B312BB"/>
    <w:rsid w:val="00B31F8C"/>
    <w:rsid w:val="00B34FCF"/>
    <w:rsid w:val="00B350C6"/>
    <w:rsid w:val="00B369FE"/>
    <w:rsid w:val="00B403D0"/>
    <w:rsid w:val="00B4131A"/>
    <w:rsid w:val="00B4140B"/>
    <w:rsid w:val="00B417B3"/>
    <w:rsid w:val="00B418CC"/>
    <w:rsid w:val="00B44783"/>
    <w:rsid w:val="00B44CB2"/>
    <w:rsid w:val="00B56EF9"/>
    <w:rsid w:val="00B57E33"/>
    <w:rsid w:val="00B621A2"/>
    <w:rsid w:val="00B63D13"/>
    <w:rsid w:val="00B641B6"/>
    <w:rsid w:val="00B64D7E"/>
    <w:rsid w:val="00B66220"/>
    <w:rsid w:val="00B66544"/>
    <w:rsid w:val="00B70BF8"/>
    <w:rsid w:val="00B71270"/>
    <w:rsid w:val="00B72634"/>
    <w:rsid w:val="00B77510"/>
    <w:rsid w:val="00B818D8"/>
    <w:rsid w:val="00B81AA9"/>
    <w:rsid w:val="00B83E0C"/>
    <w:rsid w:val="00B85A0C"/>
    <w:rsid w:val="00B85C04"/>
    <w:rsid w:val="00B8768A"/>
    <w:rsid w:val="00B87EC8"/>
    <w:rsid w:val="00B90DA6"/>
    <w:rsid w:val="00B91118"/>
    <w:rsid w:val="00B92359"/>
    <w:rsid w:val="00B92785"/>
    <w:rsid w:val="00B93057"/>
    <w:rsid w:val="00B9334A"/>
    <w:rsid w:val="00B94152"/>
    <w:rsid w:val="00B949B0"/>
    <w:rsid w:val="00B9525A"/>
    <w:rsid w:val="00B96782"/>
    <w:rsid w:val="00B967E2"/>
    <w:rsid w:val="00B976A7"/>
    <w:rsid w:val="00BA13FA"/>
    <w:rsid w:val="00BA31A9"/>
    <w:rsid w:val="00BA4930"/>
    <w:rsid w:val="00BA574B"/>
    <w:rsid w:val="00BA5ED3"/>
    <w:rsid w:val="00BA758B"/>
    <w:rsid w:val="00BB2BBB"/>
    <w:rsid w:val="00BB52E1"/>
    <w:rsid w:val="00BB79D2"/>
    <w:rsid w:val="00BC15C8"/>
    <w:rsid w:val="00BD18E2"/>
    <w:rsid w:val="00BD2725"/>
    <w:rsid w:val="00BD3D19"/>
    <w:rsid w:val="00BD5F08"/>
    <w:rsid w:val="00BD7AF5"/>
    <w:rsid w:val="00BE0CCB"/>
    <w:rsid w:val="00BE4404"/>
    <w:rsid w:val="00BE50A7"/>
    <w:rsid w:val="00BE5897"/>
    <w:rsid w:val="00BE5F93"/>
    <w:rsid w:val="00BE799E"/>
    <w:rsid w:val="00BF215F"/>
    <w:rsid w:val="00BF2406"/>
    <w:rsid w:val="00BF39B5"/>
    <w:rsid w:val="00BF447A"/>
    <w:rsid w:val="00BF5637"/>
    <w:rsid w:val="00BF637B"/>
    <w:rsid w:val="00BF6EC1"/>
    <w:rsid w:val="00C0119F"/>
    <w:rsid w:val="00C01364"/>
    <w:rsid w:val="00C027D0"/>
    <w:rsid w:val="00C03F55"/>
    <w:rsid w:val="00C07425"/>
    <w:rsid w:val="00C11575"/>
    <w:rsid w:val="00C12052"/>
    <w:rsid w:val="00C13F31"/>
    <w:rsid w:val="00C147A3"/>
    <w:rsid w:val="00C15C05"/>
    <w:rsid w:val="00C15EEA"/>
    <w:rsid w:val="00C16AD5"/>
    <w:rsid w:val="00C1744B"/>
    <w:rsid w:val="00C24336"/>
    <w:rsid w:val="00C25916"/>
    <w:rsid w:val="00C264A4"/>
    <w:rsid w:val="00C26E4A"/>
    <w:rsid w:val="00C300BC"/>
    <w:rsid w:val="00C32407"/>
    <w:rsid w:val="00C32ACC"/>
    <w:rsid w:val="00C3339E"/>
    <w:rsid w:val="00C3348E"/>
    <w:rsid w:val="00C339A7"/>
    <w:rsid w:val="00C359C5"/>
    <w:rsid w:val="00C35A19"/>
    <w:rsid w:val="00C4214D"/>
    <w:rsid w:val="00C422BD"/>
    <w:rsid w:val="00C43EAF"/>
    <w:rsid w:val="00C4458A"/>
    <w:rsid w:val="00C45184"/>
    <w:rsid w:val="00C478D7"/>
    <w:rsid w:val="00C512DA"/>
    <w:rsid w:val="00C5310E"/>
    <w:rsid w:val="00C544AF"/>
    <w:rsid w:val="00C5678C"/>
    <w:rsid w:val="00C61A7D"/>
    <w:rsid w:val="00C61DA2"/>
    <w:rsid w:val="00C624A4"/>
    <w:rsid w:val="00C62DA5"/>
    <w:rsid w:val="00C64BCD"/>
    <w:rsid w:val="00C65057"/>
    <w:rsid w:val="00C665D6"/>
    <w:rsid w:val="00C70BD6"/>
    <w:rsid w:val="00C723FC"/>
    <w:rsid w:val="00C72E7F"/>
    <w:rsid w:val="00C73463"/>
    <w:rsid w:val="00C73567"/>
    <w:rsid w:val="00C74F61"/>
    <w:rsid w:val="00C75F3D"/>
    <w:rsid w:val="00C76D98"/>
    <w:rsid w:val="00C86599"/>
    <w:rsid w:val="00C86600"/>
    <w:rsid w:val="00C87BBA"/>
    <w:rsid w:val="00C901E7"/>
    <w:rsid w:val="00C90800"/>
    <w:rsid w:val="00C91C7D"/>
    <w:rsid w:val="00CA05CF"/>
    <w:rsid w:val="00CA0711"/>
    <w:rsid w:val="00CA23E0"/>
    <w:rsid w:val="00CA2799"/>
    <w:rsid w:val="00CA2EB7"/>
    <w:rsid w:val="00CA34DF"/>
    <w:rsid w:val="00CA3BE2"/>
    <w:rsid w:val="00CA4FAA"/>
    <w:rsid w:val="00CB0244"/>
    <w:rsid w:val="00CB02E8"/>
    <w:rsid w:val="00CB2C52"/>
    <w:rsid w:val="00CB3AFD"/>
    <w:rsid w:val="00CB4144"/>
    <w:rsid w:val="00CB452C"/>
    <w:rsid w:val="00CB45D3"/>
    <w:rsid w:val="00CB5D44"/>
    <w:rsid w:val="00CB6F48"/>
    <w:rsid w:val="00CC0034"/>
    <w:rsid w:val="00CC0713"/>
    <w:rsid w:val="00CC219C"/>
    <w:rsid w:val="00CC606D"/>
    <w:rsid w:val="00CD0064"/>
    <w:rsid w:val="00CD1DE8"/>
    <w:rsid w:val="00CD3E49"/>
    <w:rsid w:val="00CD5059"/>
    <w:rsid w:val="00CD5411"/>
    <w:rsid w:val="00CD5FEA"/>
    <w:rsid w:val="00CD6CB9"/>
    <w:rsid w:val="00CD7425"/>
    <w:rsid w:val="00CE2C8D"/>
    <w:rsid w:val="00CE2E47"/>
    <w:rsid w:val="00CE3445"/>
    <w:rsid w:val="00CE39BE"/>
    <w:rsid w:val="00CE3A94"/>
    <w:rsid w:val="00CE3FD8"/>
    <w:rsid w:val="00CE7841"/>
    <w:rsid w:val="00CF14CF"/>
    <w:rsid w:val="00CF3331"/>
    <w:rsid w:val="00CF339B"/>
    <w:rsid w:val="00CF4449"/>
    <w:rsid w:val="00CF691C"/>
    <w:rsid w:val="00CF7E5B"/>
    <w:rsid w:val="00D02F81"/>
    <w:rsid w:val="00D03B7A"/>
    <w:rsid w:val="00D03FDB"/>
    <w:rsid w:val="00D05340"/>
    <w:rsid w:val="00D05A50"/>
    <w:rsid w:val="00D0687D"/>
    <w:rsid w:val="00D07712"/>
    <w:rsid w:val="00D07816"/>
    <w:rsid w:val="00D10D04"/>
    <w:rsid w:val="00D10EFD"/>
    <w:rsid w:val="00D1425B"/>
    <w:rsid w:val="00D15382"/>
    <w:rsid w:val="00D169C0"/>
    <w:rsid w:val="00D17332"/>
    <w:rsid w:val="00D17ABD"/>
    <w:rsid w:val="00D215A3"/>
    <w:rsid w:val="00D23C42"/>
    <w:rsid w:val="00D23C44"/>
    <w:rsid w:val="00D2445C"/>
    <w:rsid w:val="00D25991"/>
    <w:rsid w:val="00D25D66"/>
    <w:rsid w:val="00D2670F"/>
    <w:rsid w:val="00D27455"/>
    <w:rsid w:val="00D311F1"/>
    <w:rsid w:val="00D33AEE"/>
    <w:rsid w:val="00D34D52"/>
    <w:rsid w:val="00D36109"/>
    <w:rsid w:val="00D3678E"/>
    <w:rsid w:val="00D3682E"/>
    <w:rsid w:val="00D406CA"/>
    <w:rsid w:val="00D41E1D"/>
    <w:rsid w:val="00D4540A"/>
    <w:rsid w:val="00D50EF1"/>
    <w:rsid w:val="00D51BB1"/>
    <w:rsid w:val="00D52176"/>
    <w:rsid w:val="00D52E82"/>
    <w:rsid w:val="00D52EA7"/>
    <w:rsid w:val="00D53CC0"/>
    <w:rsid w:val="00D55621"/>
    <w:rsid w:val="00D567AA"/>
    <w:rsid w:val="00D56EDB"/>
    <w:rsid w:val="00D617DE"/>
    <w:rsid w:val="00D64C79"/>
    <w:rsid w:val="00D6527B"/>
    <w:rsid w:val="00D66AFE"/>
    <w:rsid w:val="00D66DA9"/>
    <w:rsid w:val="00D712A8"/>
    <w:rsid w:val="00D7143A"/>
    <w:rsid w:val="00D728BA"/>
    <w:rsid w:val="00D72C47"/>
    <w:rsid w:val="00D75D54"/>
    <w:rsid w:val="00D7671F"/>
    <w:rsid w:val="00D77CE8"/>
    <w:rsid w:val="00D8056C"/>
    <w:rsid w:val="00D80857"/>
    <w:rsid w:val="00D80B04"/>
    <w:rsid w:val="00D80B4E"/>
    <w:rsid w:val="00D81FAA"/>
    <w:rsid w:val="00D8285E"/>
    <w:rsid w:val="00D837DB"/>
    <w:rsid w:val="00D83A37"/>
    <w:rsid w:val="00D858A1"/>
    <w:rsid w:val="00D86601"/>
    <w:rsid w:val="00D876D2"/>
    <w:rsid w:val="00D90DC9"/>
    <w:rsid w:val="00D91080"/>
    <w:rsid w:val="00D91CCE"/>
    <w:rsid w:val="00D91D2B"/>
    <w:rsid w:val="00D938AA"/>
    <w:rsid w:val="00D93D25"/>
    <w:rsid w:val="00D954DC"/>
    <w:rsid w:val="00DA03DF"/>
    <w:rsid w:val="00DA0A21"/>
    <w:rsid w:val="00DA115F"/>
    <w:rsid w:val="00DA1C13"/>
    <w:rsid w:val="00DA1D18"/>
    <w:rsid w:val="00DA1E96"/>
    <w:rsid w:val="00DA2029"/>
    <w:rsid w:val="00DA296E"/>
    <w:rsid w:val="00DA4C1A"/>
    <w:rsid w:val="00DA5B13"/>
    <w:rsid w:val="00DA6B92"/>
    <w:rsid w:val="00DA7212"/>
    <w:rsid w:val="00DB09C9"/>
    <w:rsid w:val="00DB1108"/>
    <w:rsid w:val="00DB15AA"/>
    <w:rsid w:val="00DB5A8F"/>
    <w:rsid w:val="00DB5F59"/>
    <w:rsid w:val="00DB7D05"/>
    <w:rsid w:val="00DC09EB"/>
    <w:rsid w:val="00DC23A9"/>
    <w:rsid w:val="00DC251F"/>
    <w:rsid w:val="00DC3730"/>
    <w:rsid w:val="00DC608B"/>
    <w:rsid w:val="00DC715D"/>
    <w:rsid w:val="00DD1930"/>
    <w:rsid w:val="00DD728F"/>
    <w:rsid w:val="00DD7735"/>
    <w:rsid w:val="00DE0184"/>
    <w:rsid w:val="00DE0E57"/>
    <w:rsid w:val="00DE2A9C"/>
    <w:rsid w:val="00DE460D"/>
    <w:rsid w:val="00DE48AF"/>
    <w:rsid w:val="00DE48BF"/>
    <w:rsid w:val="00DE5EBA"/>
    <w:rsid w:val="00DF1102"/>
    <w:rsid w:val="00DF3D06"/>
    <w:rsid w:val="00DF41BD"/>
    <w:rsid w:val="00DF4717"/>
    <w:rsid w:val="00DF5068"/>
    <w:rsid w:val="00DF7946"/>
    <w:rsid w:val="00E01026"/>
    <w:rsid w:val="00E029C7"/>
    <w:rsid w:val="00E0315E"/>
    <w:rsid w:val="00E03D91"/>
    <w:rsid w:val="00E05864"/>
    <w:rsid w:val="00E05918"/>
    <w:rsid w:val="00E05C3B"/>
    <w:rsid w:val="00E0759E"/>
    <w:rsid w:val="00E10B14"/>
    <w:rsid w:val="00E10F3C"/>
    <w:rsid w:val="00E115DF"/>
    <w:rsid w:val="00E15DBD"/>
    <w:rsid w:val="00E17007"/>
    <w:rsid w:val="00E204EA"/>
    <w:rsid w:val="00E20AB8"/>
    <w:rsid w:val="00E21C47"/>
    <w:rsid w:val="00E2430F"/>
    <w:rsid w:val="00E25857"/>
    <w:rsid w:val="00E27D00"/>
    <w:rsid w:val="00E3042C"/>
    <w:rsid w:val="00E31100"/>
    <w:rsid w:val="00E32796"/>
    <w:rsid w:val="00E340C9"/>
    <w:rsid w:val="00E3474D"/>
    <w:rsid w:val="00E34C34"/>
    <w:rsid w:val="00E35556"/>
    <w:rsid w:val="00E35945"/>
    <w:rsid w:val="00E368C8"/>
    <w:rsid w:val="00E373BC"/>
    <w:rsid w:val="00E37953"/>
    <w:rsid w:val="00E37DCA"/>
    <w:rsid w:val="00E413FB"/>
    <w:rsid w:val="00E41CA6"/>
    <w:rsid w:val="00E44AA4"/>
    <w:rsid w:val="00E45670"/>
    <w:rsid w:val="00E463CA"/>
    <w:rsid w:val="00E46BA4"/>
    <w:rsid w:val="00E5095B"/>
    <w:rsid w:val="00E51789"/>
    <w:rsid w:val="00E52E8B"/>
    <w:rsid w:val="00E53702"/>
    <w:rsid w:val="00E53727"/>
    <w:rsid w:val="00E57B82"/>
    <w:rsid w:val="00E6309F"/>
    <w:rsid w:val="00E6384E"/>
    <w:rsid w:val="00E64548"/>
    <w:rsid w:val="00E64B34"/>
    <w:rsid w:val="00E650E9"/>
    <w:rsid w:val="00E65274"/>
    <w:rsid w:val="00E66B81"/>
    <w:rsid w:val="00E66FFD"/>
    <w:rsid w:val="00E6768B"/>
    <w:rsid w:val="00E730C5"/>
    <w:rsid w:val="00E73D90"/>
    <w:rsid w:val="00E74C48"/>
    <w:rsid w:val="00E757ED"/>
    <w:rsid w:val="00E75952"/>
    <w:rsid w:val="00E81015"/>
    <w:rsid w:val="00E828A1"/>
    <w:rsid w:val="00E83FCC"/>
    <w:rsid w:val="00E8421E"/>
    <w:rsid w:val="00E868AF"/>
    <w:rsid w:val="00E86AF4"/>
    <w:rsid w:val="00E86FD0"/>
    <w:rsid w:val="00E87AA6"/>
    <w:rsid w:val="00E87B09"/>
    <w:rsid w:val="00E9070C"/>
    <w:rsid w:val="00E937AB"/>
    <w:rsid w:val="00E9449D"/>
    <w:rsid w:val="00E94664"/>
    <w:rsid w:val="00E956B9"/>
    <w:rsid w:val="00EA0208"/>
    <w:rsid w:val="00EA063E"/>
    <w:rsid w:val="00EA3131"/>
    <w:rsid w:val="00EA37ED"/>
    <w:rsid w:val="00EA4735"/>
    <w:rsid w:val="00EA49C1"/>
    <w:rsid w:val="00EA69FA"/>
    <w:rsid w:val="00EA6A36"/>
    <w:rsid w:val="00EA76F4"/>
    <w:rsid w:val="00EB431E"/>
    <w:rsid w:val="00EB4CEC"/>
    <w:rsid w:val="00EB6757"/>
    <w:rsid w:val="00EB7AFB"/>
    <w:rsid w:val="00EC0A41"/>
    <w:rsid w:val="00EC0DAF"/>
    <w:rsid w:val="00EC17B3"/>
    <w:rsid w:val="00EC18BC"/>
    <w:rsid w:val="00EC2486"/>
    <w:rsid w:val="00EC24CD"/>
    <w:rsid w:val="00EC42D2"/>
    <w:rsid w:val="00EC4D01"/>
    <w:rsid w:val="00EC57F5"/>
    <w:rsid w:val="00EC7A5E"/>
    <w:rsid w:val="00ED01FD"/>
    <w:rsid w:val="00ED1F87"/>
    <w:rsid w:val="00ED525C"/>
    <w:rsid w:val="00ED65FD"/>
    <w:rsid w:val="00ED6660"/>
    <w:rsid w:val="00EE1168"/>
    <w:rsid w:val="00EE1198"/>
    <w:rsid w:val="00EE3008"/>
    <w:rsid w:val="00EE3E5B"/>
    <w:rsid w:val="00EE6DA0"/>
    <w:rsid w:val="00EE7D35"/>
    <w:rsid w:val="00EE7E09"/>
    <w:rsid w:val="00EF18F3"/>
    <w:rsid w:val="00EF1E04"/>
    <w:rsid w:val="00EF21DC"/>
    <w:rsid w:val="00EF2F40"/>
    <w:rsid w:val="00F0029B"/>
    <w:rsid w:val="00F01020"/>
    <w:rsid w:val="00F06E27"/>
    <w:rsid w:val="00F1008B"/>
    <w:rsid w:val="00F108D0"/>
    <w:rsid w:val="00F10F51"/>
    <w:rsid w:val="00F1139C"/>
    <w:rsid w:val="00F16E1E"/>
    <w:rsid w:val="00F17867"/>
    <w:rsid w:val="00F200C1"/>
    <w:rsid w:val="00F205C2"/>
    <w:rsid w:val="00F209E1"/>
    <w:rsid w:val="00F20BF4"/>
    <w:rsid w:val="00F23380"/>
    <w:rsid w:val="00F258A3"/>
    <w:rsid w:val="00F26B01"/>
    <w:rsid w:val="00F26FEA"/>
    <w:rsid w:val="00F270CF"/>
    <w:rsid w:val="00F27AFB"/>
    <w:rsid w:val="00F30675"/>
    <w:rsid w:val="00F3351B"/>
    <w:rsid w:val="00F33873"/>
    <w:rsid w:val="00F33DC4"/>
    <w:rsid w:val="00F35A59"/>
    <w:rsid w:val="00F41647"/>
    <w:rsid w:val="00F41B92"/>
    <w:rsid w:val="00F42AF9"/>
    <w:rsid w:val="00F43EA9"/>
    <w:rsid w:val="00F446C1"/>
    <w:rsid w:val="00F461FB"/>
    <w:rsid w:val="00F46881"/>
    <w:rsid w:val="00F46BD0"/>
    <w:rsid w:val="00F4704A"/>
    <w:rsid w:val="00F4773E"/>
    <w:rsid w:val="00F47ADF"/>
    <w:rsid w:val="00F50A58"/>
    <w:rsid w:val="00F50E4B"/>
    <w:rsid w:val="00F511B8"/>
    <w:rsid w:val="00F51652"/>
    <w:rsid w:val="00F52A01"/>
    <w:rsid w:val="00F52B25"/>
    <w:rsid w:val="00F52D2E"/>
    <w:rsid w:val="00F532F2"/>
    <w:rsid w:val="00F53D3A"/>
    <w:rsid w:val="00F53DF5"/>
    <w:rsid w:val="00F55E95"/>
    <w:rsid w:val="00F57455"/>
    <w:rsid w:val="00F63474"/>
    <w:rsid w:val="00F63FEF"/>
    <w:rsid w:val="00F64235"/>
    <w:rsid w:val="00F65D90"/>
    <w:rsid w:val="00F66837"/>
    <w:rsid w:val="00F717B9"/>
    <w:rsid w:val="00F7252D"/>
    <w:rsid w:val="00F728F8"/>
    <w:rsid w:val="00F73927"/>
    <w:rsid w:val="00F747DF"/>
    <w:rsid w:val="00F753C0"/>
    <w:rsid w:val="00F7563B"/>
    <w:rsid w:val="00F76CDA"/>
    <w:rsid w:val="00F76CDE"/>
    <w:rsid w:val="00F80C44"/>
    <w:rsid w:val="00F81A6A"/>
    <w:rsid w:val="00F827FA"/>
    <w:rsid w:val="00F829EC"/>
    <w:rsid w:val="00F83D12"/>
    <w:rsid w:val="00F845BC"/>
    <w:rsid w:val="00F8495D"/>
    <w:rsid w:val="00F8612C"/>
    <w:rsid w:val="00F90D46"/>
    <w:rsid w:val="00F91A83"/>
    <w:rsid w:val="00F924BC"/>
    <w:rsid w:val="00F92C34"/>
    <w:rsid w:val="00F933E2"/>
    <w:rsid w:val="00F9365D"/>
    <w:rsid w:val="00F93DFE"/>
    <w:rsid w:val="00F93FCD"/>
    <w:rsid w:val="00F94950"/>
    <w:rsid w:val="00F94A29"/>
    <w:rsid w:val="00F95707"/>
    <w:rsid w:val="00F95F35"/>
    <w:rsid w:val="00F96806"/>
    <w:rsid w:val="00F96F45"/>
    <w:rsid w:val="00F97ED9"/>
    <w:rsid w:val="00FA2F23"/>
    <w:rsid w:val="00FA30B8"/>
    <w:rsid w:val="00FA3B3B"/>
    <w:rsid w:val="00FB023F"/>
    <w:rsid w:val="00FB2C66"/>
    <w:rsid w:val="00FB2E91"/>
    <w:rsid w:val="00FB72D4"/>
    <w:rsid w:val="00FC34C2"/>
    <w:rsid w:val="00FC4CD6"/>
    <w:rsid w:val="00FC54BD"/>
    <w:rsid w:val="00FC68E4"/>
    <w:rsid w:val="00FC6BB3"/>
    <w:rsid w:val="00FD0627"/>
    <w:rsid w:val="00FD2410"/>
    <w:rsid w:val="00FD2916"/>
    <w:rsid w:val="00FD405D"/>
    <w:rsid w:val="00FD458B"/>
    <w:rsid w:val="00FD4D5E"/>
    <w:rsid w:val="00FE2D23"/>
    <w:rsid w:val="00FE2DD3"/>
    <w:rsid w:val="00FE456E"/>
    <w:rsid w:val="00FE569B"/>
    <w:rsid w:val="00FE5DA8"/>
    <w:rsid w:val="00FF048E"/>
    <w:rsid w:val="00FF178C"/>
    <w:rsid w:val="00FF206B"/>
    <w:rsid w:val="00FF226A"/>
    <w:rsid w:val="00FF2AF2"/>
    <w:rsid w:val="00FF3E0B"/>
    <w:rsid w:val="00FF3E13"/>
    <w:rsid w:val="00FF4324"/>
    <w:rsid w:val="00FF44D0"/>
    <w:rsid w:val="00FF4C30"/>
    <w:rsid w:val="00FF54E7"/>
    <w:rsid w:val="02E974A8"/>
    <w:rsid w:val="063441D4"/>
    <w:rsid w:val="06EF5EE5"/>
    <w:rsid w:val="09E30206"/>
    <w:rsid w:val="0D42CF1A"/>
    <w:rsid w:val="14BB79E8"/>
    <w:rsid w:val="14D494AD"/>
    <w:rsid w:val="14E33EEF"/>
    <w:rsid w:val="1538F7A2"/>
    <w:rsid w:val="165FF44E"/>
    <w:rsid w:val="1B28571C"/>
    <w:rsid w:val="1D20C126"/>
    <w:rsid w:val="1E333CF9"/>
    <w:rsid w:val="1E550844"/>
    <w:rsid w:val="1F116483"/>
    <w:rsid w:val="21535713"/>
    <w:rsid w:val="2171D002"/>
    <w:rsid w:val="2177F829"/>
    <w:rsid w:val="22FCD228"/>
    <w:rsid w:val="25A2F7AF"/>
    <w:rsid w:val="266B5D6B"/>
    <w:rsid w:val="2670E982"/>
    <w:rsid w:val="2785ACB5"/>
    <w:rsid w:val="281CFD14"/>
    <w:rsid w:val="2A1CB1BE"/>
    <w:rsid w:val="2F240B4F"/>
    <w:rsid w:val="2F498967"/>
    <w:rsid w:val="34F1837D"/>
    <w:rsid w:val="3557B426"/>
    <w:rsid w:val="3640206A"/>
    <w:rsid w:val="37CBED31"/>
    <w:rsid w:val="3B859BCD"/>
    <w:rsid w:val="3C2C5C12"/>
    <w:rsid w:val="420B4F12"/>
    <w:rsid w:val="434DAD14"/>
    <w:rsid w:val="437F1D58"/>
    <w:rsid w:val="44DDB0E0"/>
    <w:rsid w:val="457C0162"/>
    <w:rsid w:val="45F19B51"/>
    <w:rsid w:val="4627A9E6"/>
    <w:rsid w:val="482B5FFD"/>
    <w:rsid w:val="483ADAF7"/>
    <w:rsid w:val="4DA8A3E5"/>
    <w:rsid w:val="4E90905C"/>
    <w:rsid w:val="501A3042"/>
    <w:rsid w:val="50926BDE"/>
    <w:rsid w:val="50F3BA79"/>
    <w:rsid w:val="552523FB"/>
    <w:rsid w:val="552ABE6B"/>
    <w:rsid w:val="56F6B37C"/>
    <w:rsid w:val="58743D89"/>
    <w:rsid w:val="5B345FC6"/>
    <w:rsid w:val="5CCF648E"/>
    <w:rsid w:val="5EB761AD"/>
    <w:rsid w:val="613FBE93"/>
    <w:rsid w:val="628DAFB5"/>
    <w:rsid w:val="63063812"/>
    <w:rsid w:val="6541A9D6"/>
    <w:rsid w:val="6593572D"/>
    <w:rsid w:val="6C0DDBD4"/>
    <w:rsid w:val="6D452FA8"/>
    <w:rsid w:val="6F75EB75"/>
    <w:rsid w:val="706400F5"/>
    <w:rsid w:val="71F88ED9"/>
    <w:rsid w:val="739FA5C4"/>
    <w:rsid w:val="7415126D"/>
    <w:rsid w:val="7652E2F6"/>
    <w:rsid w:val="768F2C86"/>
    <w:rsid w:val="78B9AE90"/>
    <w:rsid w:val="78F816D3"/>
    <w:rsid w:val="7AD43AC2"/>
    <w:rsid w:val="7B0D4BFB"/>
    <w:rsid w:val="7F800B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ac9,#fff1dd,#ebf7ff"/>
    </o:shapedefaults>
    <o:shapelayout v:ext="edit">
      <o:idmap v:ext="edit" data="1"/>
    </o:shapelayout>
  </w:shapeDefaults>
  <w:decimalSymbol w:val="."/>
  <w:listSeparator w:val=","/>
  <w14:docId w14:val="32DC1DFB"/>
  <w14:defaultImageDpi w14:val="330"/>
  <w15:chartTrackingRefBased/>
  <w15:docId w15:val="{893B7603-209D-47D9-9B68-09EB576D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AA"/>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BB79D2"/>
    <w:pPr>
      <w:keepNext/>
      <w:keepLines/>
      <w:spacing w:before="180"/>
      <w:outlineLvl w:val="2"/>
    </w:pPr>
    <w:rPr>
      <w:rFonts w:asciiTheme="majorHAnsi" w:eastAsiaTheme="majorEastAsia" w:hAnsiTheme="majorHAnsi" w:cstheme="majorBidi"/>
      <w:caps/>
      <w:color w:val="00A0E6" w:themeColor="accent1"/>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BB79D2"/>
    <w:pPr>
      <w:spacing w:line="204" w:lineRule="auto"/>
      <w:outlineLvl w:val="0"/>
    </w:pPr>
    <w:rPr>
      <w:rFonts w:asciiTheme="majorHAnsi" w:hAnsiTheme="majorHAnsi"/>
      <w:caps/>
      <w:color w:val="00A0E6" w:themeColor="accent1"/>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ind w:left="1384" w:hanging="284"/>
    </w:pPr>
  </w:style>
  <w:style w:type="character" w:customStyle="1" w:styleId="Heading3Char">
    <w:name w:val="Heading 3 Char"/>
    <w:basedOn w:val="DefaultParagraphFont"/>
    <w:link w:val="Heading3"/>
    <w:uiPriority w:val="9"/>
    <w:rsid w:val="00BB79D2"/>
    <w:rPr>
      <w:rFonts w:asciiTheme="majorHAnsi" w:eastAsiaTheme="majorEastAsia" w:hAnsiTheme="majorHAnsi" w:cstheme="majorBidi"/>
      <w:caps/>
      <w:color w:val="00A0E6" w:themeColor="accent1"/>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11785E"/>
    <w:pPr>
      <w:spacing w:before="0" w:after="0" w:line="240" w:lineRule="auto"/>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9966BF"/>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FFFF" w:themeColor="background1"/>
          <w:left w:val="single" w:sz="4" w:space="0" w:color="00A0E6" w:themeColor="accent1"/>
          <w:bottom w:val="single" w:sz="4" w:space="0" w:color="FFFFFF" w:themeColor="background1"/>
          <w:right w:val="nil"/>
          <w:insideH w:val="single" w:sz="4" w:space="0" w:color="FFFFFF" w:themeColor="background1"/>
          <w:insideV w:val="single" w:sz="4" w:space="0" w:color="FFFFFF" w:themeColor="background1"/>
        </w:tcBorders>
        <w:shd w:val="clear" w:color="auto" w:fill="00A0E6" w:themeFill="accent1"/>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BB79D2"/>
    <w:pPr>
      <w:numPr>
        <w:numId w:val="0"/>
      </w:num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qFormat/>
    <w:rsid w:val="00D90DC9"/>
    <w:pPr>
      <w:tabs>
        <w:tab w:val="left" w:pos="567"/>
        <w:tab w:val="right" w:leader="dot" w:pos="8891"/>
      </w:tabs>
      <w:spacing w:after="100"/>
    </w:pPr>
  </w:style>
  <w:style w:type="paragraph" w:styleId="TOC2">
    <w:name w:val="toc 2"/>
    <w:basedOn w:val="Normal"/>
    <w:next w:val="Normal"/>
    <w:autoRedefine/>
    <w:uiPriority w:val="39"/>
    <w:unhideWhenUsed/>
    <w:qFormat/>
    <w:rsid w:val="00D90DC9"/>
    <w:pPr>
      <w:tabs>
        <w:tab w:val="left" w:pos="660"/>
        <w:tab w:val="right" w:leader="dot" w:pos="8891"/>
      </w:tabs>
      <w:spacing w:after="100"/>
      <w:ind w:left="1134" w:hanging="567"/>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rsid w:val="00CF4449"/>
    <w:pPr>
      <w:pBdr>
        <w:top w:val="none" w:sz="0" w:space="0" w:color="auto"/>
        <w:bottom w:val="none" w:sz="0" w:space="0" w:color="auto"/>
      </w:pBdr>
      <w:spacing w:after="0"/>
    </w:pPr>
    <w:rPr>
      <w:color w:val="auto"/>
    </w:rPr>
  </w:style>
  <w:style w:type="paragraph" w:customStyle="1" w:styleId="Intro">
    <w:name w:val="Intro"/>
    <w:basedOn w:val="Normal"/>
    <w:uiPriority w:val="1"/>
    <w:qFormat/>
    <w:rsid w:val="003C111F"/>
    <w:rPr>
      <w:rFonts w:ascii="Overpass" w:hAnsi="Overpass"/>
      <w:b/>
    </w:rPr>
  </w:style>
  <w:style w:type="paragraph" w:customStyle="1" w:styleId="FooterEQAU">
    <w:name w:val="FooterEQAU"/>
    <w:next w:val="Normal"/>
    <w:qFormat/>
    <w:rsid w:val="0011785E"/>
    <w:pPr>
      <w:spacing w:after="0" w:line="240" w:lineRule="auto"/>
    </w:pPr>
    <w:rPr>
      <w:rFonts w:ascii="PhosphateSolid" w:hAnsi="PhosphateSolid"/>
      <w:caps/>
      <w:color w:val="000000" w:themeColor="text1"/>
      <w:sz w:val="24"/>
    </w:rPr>
  </w:style>
  <w:style w:type="paragraph" w:styleId="ListParagraph">
    <w:name w:val="List Paragraph"/>
    <w:basedOn w:val="Normal"/>
    <w:uiPriority w:val="34"/>
    <w:rsid w:val="00784E85"/>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pacing w:val="-2"/>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D5FEA"/>
    <w:rPr>
      <w:color w:val="605E5C"/>
      <w:shd w:val="clear" w:color="auto" w:fill="E1DFDD"/>
    </w:rPr>
  </w:style>
  <w:style w:type="paragraph" w:styleId="Revision">
    <w:name w:val="Revision"/>
    <w:hidden/>
    <w:uiPriority w:val="99"/>
    <w:semiHidden/>
    <w:rsid w:val="00AD2282"/>
    <w:pPr>
      <w:spacing w:after="0" w:line="240" w:lineRule="auto"/>
    </w:pPr>
    <w:rPr>
      <w:spacing w:val="-2"/>
      <w:sz w:val="18"/>
    </w:rPr>
  </w:style>
  <w:style w:type="paragraph" w:styleId="BalloonText">
    <w:name w:val="Balloon Text"/>
    <w:basedOn w:val="Normal"/>
    <w:link w:val="BalloonTextChar"/>
    <w:uiPriority w:val="99"/>
    <w:semiHidden/>
    <w:unhideWhenUsed/>
    <w:rsid w:val="00AD228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D2282"/>
    <w:rPr>
      <w:rFonts w:ascii="Segoe UI" w:hAnsi="Segoe UI" w:cs="Segoe UI"/>
      <w:spacing w:val="-2"/>
      <w:sz w:val="18"/>
      <w:szCs w:val="18"/>
    </w:rPr>
  </w:style>
  <w:style w:type="character" w:styleId="FollowedHyperlink">
    <w:name w:val="FollowedHyperlink"/>
    <w:basedOn w:val="DefaultParagraphFont"/>
    <w:uiPriority w:val="99"/>
    <w:semiHidden/>
    <w:unhideWhenUsed/>
    <w:rsid w:val="00B92785"/>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nfo@equalityaustrali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dn.csu.edu.au/__data/assets/pdf_file/0008/3338081/Islamophobia-Report-2019-Low-RES24-November.pdf" TargetMode="External"/><Relationship Id="rId3" Type="http://schemas.openxmlformats.org/officeDocument/2006/relationships/hyperlink" Target="https://www.ag.gov.au/sites/default/files/2020-05/Australian%20Discrimination%20Law%20Experts%20Group.pdf" TargetMode="External"/><Relationship Id="rId7" Type="http://schemas.openxmlformats.org/officeDocument/2006/relationships/hyperlink" Target="https://www.humanrights.gov.au/sites/default/files/content/racial_discrimination/isma/report/pdf/ISMA_complete.pdf" TargetMode="External"/><Relationship Id="rId2" Type="http://schemas.openxmlformats.org/officeDocument/2006/relationships/hyperlink" Target="https://www.parliament.nsw.gov.au/committees/listofcommittees/Pages/committee-details.aspx?pk=267" TargetMode="External"/><Relationship Id="rId1" Type="http://schemas.openxmlformats.org/officeDocument/2006/relationships/hyperlink" Target="http://www.ag.gov.au/Consultations/Pages/religious-freedom-bills.aspx" TargetMode="External"/><Relationship Id="rId6" Type="http://schemas.openxmlformats.org/officeDocument/2006/relationships/hyperlink" Target="https://www.3aw.com.au/we-were-furious-uber-driver-rejects-couple-because-of-their-christmas-ham/" TargetMode="External"/><Relationship Id="rId5" Type="http://schemas.openxmlformats.org/officeDocument/2006/relationships/hyperlink" Target="https://equalityaustralia.org.au/easubmission2/" TargetMode="External"/><Relationship Id="rId10" Type="http://schemas.openxmlformats.org/officeDocument/2006/relationships/hyperlink" Target="https://www.acnc.gov.au/file/380/download?token=pVvzggOw" TargetMode="External"/><Relationship Id="rId4" Type="http://schemas.openxmlformats.org/officeDocument/2006/relationships/hyperlink" Target="https://www.antidiscrimination.justice.nsw.gov.au/Pages/adb1_antidiscriminationlaw/adb1_exemptions/exemptions.126.aspx" TargetMode="External"/><Relationship Id="rId9" Type="http://schemas.openxmlformats.org/officeDocument/2006/relationships/hyperlink" Target="https://sydney.edu.au/content/dam/corporate/documents/sydney-law-school/research/centres-institutes/antisemitism-report-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2" ma:contentTypeDescription="Create a new document." ma:contentTypeScope="" ma:versionID="2bba63a07d80fb465b1e7d4f51f7a51e">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083794e4765ae9224521aa36784910ec"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DCA3D-9BF9-4AB7-81E4-37EF2444AB3F}">
  <ds:schemaRefs>
    <ds:schemaRef ds:uri="http://schemas.openxmlformats.org/officeDocument/2006/bibliography"/>
  </ds:schemaRefs>
</ds:datastoreItem>
</file>

<file path=customXml/itemProps2.xml><?xml version="1.0" encoding="utf-8"?>
<ds:datastoreItem xmlns:ds="http://schemas.openxmlformats.org/officeDocument/2006/customXml" ds:itemID="{F916F5F6-6561-4D19-A877-046458334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D2917-451E-4D04-9E30-C82EA10406F1}">
  <ds:schemaRefs>
    <ds:schemaRef ds:uri="http://schemas.microsoft.com/sharepoint/v3/contenttype/forms"/>
  </ds:schemaRefs>
</ds:datastoreItem>
</file>

<file path=customXml/itemProps4.xml><?xml version="1.0" encoding="utf-8"?>
<ds:datastoreItem xmlns:ds="http://schemas.openxmlformats.org/officeDocument/2006/customXml" ds:itemID="{99014E9E-2451-46B6-B862-76E124648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8867</Words>
  <Characters>50548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cp:lastModifiedBy>
  <cp:revision>6</cp:revision>
  <cp:lastPrinted>2020-08-21T06:57:00Z</cp:lastPrinted>
  <dcterms:created xsi:type="dcterms:W3CDTF">2020-08-21T06:56:00Z</dcterms:created>
  <dcterms:modified xsi:type="dcterms:W3CDTF">2020-08-21T07:01:00Z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